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A" w:rsidRPr="0037001A" w:rsidRDefault="00A63496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Приложение № 2</w:t>
      </w:r>
    </w:p>
    <w:p w:rsidR="0037001A" w:rsidRDefault="00A63496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к приказу Министерства экономического развития РФ</w:t>
      </w:r>
    </w:p>
    <w:p w:rsidR="0037001A" w:rsidRDefault="00A63496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 и Федерального казначейства «Об утверждении </w:t>
      </w:r>
    </w:p>
    <w:p w:rsidR="0037001A" w:rsidRDefault="00A63496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порядка размещения на официальном сайте </w:t>
      </w:r>
    </w:p>
    <w:p w:rsidR="0037001A" w:rsidRDefault="00A63496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планов-графиков размещения заказов на поставки товаров, </w:t>
      </w:r>
    </w:p>
    <w:p w:rsidR="0037001A" w:rsidRDefault="00A63496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выполнение работ, оказание услуг для нужд заказчиков </w:t>
      </w:r>
    </w:p>
    <w:p w:rsidR="0037001A" w:rsidRDefault="00A63496" w:rsidP="0037001A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и формы планов-графиков размещения заказа на поставки </w:t>
      </w:r>
    </w:p>
    <w:p w:rsidR="0037001A" w:rsidRDefault="00A63496" w:rsidP="0037001A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товаров, выполнение работ, оказание услуг для нужд заказчиков» </w:t>
      </w:r>
    </w:p>
    <w:p w:rsidR="00A63496" w:rsidRDefault="00A63496" w:rsidP="0037001A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от 27 декабря 2011 года № 761/20н</w:t>
      </w:r>
    </w:p>
    <w:p w:rsidR="004A284C" w:rsidRDefault="004A284C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</w:p>
    <w:p w:rsidR="0037001A" w:rsidRPr="0037001A" w:rsidRDefault="0037001A" w:rsidP="00A63496">
      <w:pPr>
        <w:autoSpaceDE w:val="0"/>
        <w:autoSpaceDN w:val="0"/>
        <w:jc w:val="right"/>
        <w:rPr>
          <w:b/>
          <w:bCs/>
          <w:sz w:val="16"/>
          <w:szCs w:val="16"/>
        </w:rPr>
      </w:pPr>
    </w:p>
    <w:p w:rsidR="00D8242C" w:rsidRDefault="00D8242C" w:rsidP="00E930FA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План-график</w:t>
      </w:r>
    </w:p>
    <w:p w:rsidR="00F84A59" w:rsidRPr="00B36144" w:rsidRDefault="00F84A59" w:rsidP="00E930FA">
      <w:pPr>
        <w:autoSpaceDE w:val="0"/>
        <w:autoSpaceDN w:val="0"/>
        <w:jc w:val="center"/>
        <w:rPr>
          <w:b/>
          <w:bCs/>
          <w:szCs w:val="24"/>
        </w:rPr>
      </w:pPr>
      <w:r w:rsidRPr="00B36144">
        <w:rPr>
          <w:b/>
          <w:bCs/>
          <w:szCs w:val="24"/>
        </w:rPr>
        <w:t xml:space="preserve"> размещения заказов на поставки товаров,</w:t>
      </w:r>
      <w:r w:rsidRPr="00B36144">
        <w:rPr>
          <w:b/>
          <w:bCs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F84A59" w:rsidRPr="00B36144" w:rsidTr="00F84A59">
        <w:trPr>
          <w:jc w:val="center"/>
        </w:trPr>
        <w:tc>
          <w:tcPr>
            <w:tcW w:w="340" w:type="dxa"/>
            <w:vAlign w:val="bottom"/>
            <w:hideMark/>
          </w:tcPr>
          <w:p w:rsidR="00F84A59" w:rsidRPr="00B36144" w:rsidRDefault="00F84A59" w:rsidP="00E930FA">
            <w:pPr>
              <w:autoSpaceDE w:val="0"/>
              <w:autoSpaceDN w:val="0"/>
              <w:spacing w:line="276" w:lineRule="auto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на</w:t>
            </w:r>
          </w:p>
        </w:tc>
        <w:tc>
          <w:tcPr>
            <w:tcW w:w="1106" w:type="dxa"/>
            <w:vAlign w:val="bottom"/>
            <w:hideMark/>
          </w:tcPr>
          <w:p w:rsidR="00F84A59" w:rsidRPr="00B36144" w:rsidRDefault="00E34A51" w:rsidP="00E930FA">
            <w:pPr>
              <w:autoSpaceDE w:val="0"/>
              <w:autoSpaceDN w:val="0"/>
              <w:spacing w:line="276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F84A59" w:rsidRPr="00B36144" w:rsidRDefault="00F84A59" w:rsidP="00E930FA">
            <w:pPr>
              <w:autoSpaceDE w:val="0"/>
              <w:autoSpaceDN w:val="0"/>
              <w:spacing w:line="276" w:lineRule="auto"/>
              <w:ind w:left="57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год</w:t>
            </w:r>
          </w:p>
        </w:tc>
      </w:tr>
    </w:tbl>
    <w:p w:rsidR="00F84A59" w:rsidRPr="00B36144" w:rsidRDefault="00F84A59" w:rsidP="00F84A59">
      <w:pPr>
        <w:autoSpaceDE w:val="0"/>
        <w:autoSpaceDN w:val="0"/>
        <w:rPr>
          <w:szCs w:val="24"/>
        </w:rPr>
      </w:pPr>
    </w:p>
    <w:tbl>
      <w:tblPr>
        <w:tblW w:w="15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9474"/>
      </w:tblGrid>
      <w:tr w:rsidR="00F84A59" w:rsidRPr="00B36144" w:rsidTr="0050707C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Наименование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Администрация муниципального образования сельское поселение Алакуртти Кандалакшского района</w:t>
            </w:r>
          </w:p>
        </w:tc>
      </w:tr>
      <w:tr w:rsidR="00F84A59" w:rsidRPr="00B36144" w:rsidTr="0050707C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Адрес местонахождения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184040 Мурманская обл., г. Кандалакша, с. Алакуртти</w:t>
            </w:r>
            <w:proofErr w:type="gramStart"/>
            <w:r w:rsidRPr="00B36144">
              <w:rPr>
                <w:szCs w:val="24"/>
              </w:rPr>
              <w:t xml:space="preserve"> ,</w:t>
            </w:r>
            <w:proofErr w:type="gramEnd"/>
            <w:r w:rsidRPr="00B36144">
              <w:rPr>
                <w:szCs w:val="24"/>
              </w:rPr>
              <w:t xml:space="preserve"> ул. Данилова, д.11</w:t>
            </w:r>
          </w:p>
        </w:tc>
      </w:tr>
      <w:tr w:rsidR="00F84A59" w:rsidRPr="00B36144" w:rsidTr="0050707C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Телефон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  <w:lang w:val="en-US"/>
              </w:rPr>
            </w:pPr>
            <w:r w:rsidRPr="00B36144">
              <w:rPr>
                <w:szCs w:val="24"/>
              </w:rPr>
              <w:t xml:space="preserve">(815-33) </w:t>
            </w:r>
            <w:r w:rsidRPr="00B36144">
              <w:rPr>
                <w:szCs w:val="24"/>
                <w:lang w:val="en-US"/>
              </w:rPr>
              <w:t>53683</w:t>
            </w:r>
          </w:p>
        </w:tc>
      </w:tr>
      <w:tr w:rsidR="00F84A59" w:rsidRPr="00B36144" w:rsidTr="0050707C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Электронная почта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color w:val="0000FF"/>
                <w:szCs w:val="24"/>
                <w:u w:val="single"/>
                <w:lang w:val="en-US"/>
              </w:rPr>
            </w:pPr>
            <w:r w:rsidRPr="00B36144">
              <w:rPr>
                <w:color w:val="0000FF"/>
                <w:szCs w:val="24"/>
                <w:u w:val="single"/>
                <w:lang w:val="en-US"/>
              </w:rPr>
              <w:t>alakurttiadmin@rambler.ru</w:t>
            </w:r>
          </w:p>
        </w:tc>
      </w:tr>
      <w:tr w:rsidR="00F84A59" w:rsidRPr="00B36144" w:rsidTr="0050707C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ИНН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5102050715</w:t>
            </w:r>
          </w:p>
        </w:tc>
      </w:tr>
      <w:tr w:rsidR="00F84A59" w:rsidRPr="00B36144" w:rsidTr="0050707C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КПП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510201001</w:t>
            </w:r>
          </w:p>
        </w:tc>
      </w:tr>
      <w:tr w:rsidR="00F84A59" w:rsidRPr="00B36144" w:rsidTr="0050707C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ОКАТО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A59" w:rsidRPr="00B36144" w:rsidRDefault="00F84A59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47202000010</w:t>
            </w:r>
          </w:p>
        </w:tc>
      </w:tr>
    </w:tbl>
    <w:p w:rsidR="00A24B92" w:rsidRDefault="00A24B92" w:rsidP="00F84A59">
      <w:pPr>
        <w:autoSpaceDE w:val="0"/>
        <w:autoSpaceDN w:val="0"/>
        <w:rPr>
          <w:sz w:val="22"/>
          <w:szCs w:val="22"/>
        </w:rPr>
      </w:pPr>
    </w:p>
    <w:p w:rsidR="0050707C" w:rsidRDefault="0050707C" w:rsidP="00F84A59">
      <w:pPr>
        <w:autoSpaceDE w:val="0"/>
        <w:autoSpaceDN w:val="0"/>
        <w:rPr>
          <w:sz w:val="22"/>
          <w:szCs w:val="22"/>
        </w:rPr>
      </w:pPr>
    </w:p>
    <w:tbl>
      <w:tblPr>
        <w:tblStyle w:val="a6"/>
        <w:tblW w:w="160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8"/>
        <w:gridCol w:w="877"/>
        <w:gridCol w:w="983"/>
        <w:gridCol w:w="560"/>
        <w:gridCol w:w="1451"/>
        <w:gridCol w:w="2710"/>
        <w:gridCol w:w="701"/>
        <w:gridCol w:w="757"/>
        <w:gridCol w:w="1218"/>
        <w:gridCol w:w="2312"/>
        <w:gridCol w:w="841"/>
        <w:gridCol w:w="1143"/>
        <w:gridCol w:w="1123"/>
        <w:gridCol w:w="598"/>
      </w:tblGrid>
      <w:tr w:rsidR="00F84A59" w:rsidTr="003F47CA">
        <w:trPr>
          <w:trHeight w:val="1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ОКВЭД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ОКДП</w:t>
            </w:r>
          </w:p>
        </w:tc>
        <w:tc>
          <w:tcPr>
            <w:tcW w:w="11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</w:t>
            </w:r>
            <w:r w:rsidR="00F0552F">
              <w:rPr>
                <w:b/>
                <w:sz w:val="18"/>
                <w:szCs w:val="18"/>
              </w:rPr>
              <w:t xml:space="preserve">снование внесения </w:t>
            </w:r>
            <w:r>
              <w:rPr>
                <w:b/>
                <w:sz w:val="18"/>
                <w:szCs w:val="18"/>
              </w:rPr>
              <w:t>изменений</w:t>
            </w:r>
          </w:p>
        </w:tc>
      </w:tr>
      <w:tr w:rsidR="00F84A59" w:rsidTr="003F47CA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F95984" w:rsidRDefault="00F95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b/>
                <w:sz w:val="18"/>
                <w:szCs w:val="18"/>
              </w:rPr>
              <w:footnoteReference w:customMarkFollows="1" w:id="1"/>
              <w:t>*</w:t>
            </w:r>
            <w:r>
              <w:rPr>
                <w:b/>
                <w:sz w:val="18"/>
                <w:szCs w:val="18"/>
              </w:rPr>
              <w:t>)</w:t>
            </w:r>
          </w:p>
          <w:p w:rsidR="00F95984" w:rsidRDefault="00F95984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</w:tr>
      <w:tr w:rsidR="00F84A59" w:rsidTr="003F47CA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размещения заказа</w:t>
            </w:r>
            <w:r>
              <w:rPr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59" w:rsidRDefault="00F84A59">
            <w:pPr>
              <w:rPr>
                <w:b/>
                <w:sz w:val="18"/>
                <w:szCs w:val="18"/>
              </w:rPr>
            </w:pPr>
          </w:p>
        </w:tc>
      </w:tr>
      <w:tr w:rsidR="00F84A59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Default="00F8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F84A59" w:rsidRPr="00B361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D92121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00101040110603244223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F84A59" w:rsidP="00F84A59">
            <w:pPr>
              <w:jc w:val="center"/>
              <w:rPr>
                <w:sz w:val="18"/>
                <w:szCs w:val="18"/>
              </w:rPr>
            </w:pPr>
          </w:p>
          <w:p w:rsidR="00F84A59" w:rsidRPr="00EA61D6" w:rsidRDefault="00C444A9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75.11.32</w:t>
            </w:r>
          </w:p>
          <w:p w:rsidR="00C444A9" w:rsidRPr="00EA61D6" w:rsidRDefault="00C44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E012BB" w:rsidP="00F84A59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40.30.10.110</w:t>
            </w:r>
          </w:p>
          <w:p w:rsidR="00F84A59" w:rsidRPr="00EA61D6" w:rsidRDefault="00F8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F84A59" w:rsidP="00F84A59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F84A59" w:rsidP="00F84A59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Тепловая энергия и теплоноситель</w:t>
            </w:r>
          </w:p>
          <w:p w:rsidR="00F84A59" w:rsidRPr="00EA61D6" w:rsidRDefault="00F84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F84A59" w:rsidP="00F84A59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Гарантированная поставка тепловой энергии и теплонос</w:t>
            </w:r>
            <w:r w:rsidR="00E34A51" w:rsidRPr="00EA61D6">
              <w:rPr>
                <w:sz w:val="18"/>
                <w:szCs w:val="18"/>
              </w:rPr>
              <w:t>ителя в отопительный период 2014-2015</w:t>
            </w:r>
            <w:r w:rsidRPr="00EA61D6">
              <w:rPr>
                <w:sz w:val="18"/>
                <w:szCs w:val="18"/>
              </w:rPr>
              <w:t xml:space="preserve"> г.г.</w:t>
            </w:r>
          </w:p>
          <w:p w:rsidR="00F84A59" w:rsidRPr="00EA61D6" w:rsidRDefault="00F84A5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F84A59" w:rsidP="00F84A59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Гкал</w:t>
            </w:r>
          </w:p>
          <w:p w:rsidR="00F84A59" w:rsidRPr="00EA61D6" w:rsidRDefault="00F8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1428B3" w:rsidP="00F84A59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97,510</w:t>
            </w:r>
          </w:p>
          <w:p w:rsidR="00F84A59" w:rsidRPr="00EA61D6" w:rsidRDefault="00F8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59" w:rsidRPr="00EA61D6" w:rsidRDefault="00D92121" w:rsidP="00F84A59">
            <w:pPr>
              <w:jc w:val="center"/>
              <w:rPr>
                <w:sz w:val="18"/>
                <w:szCs w:val="18"/>
              </w:rPr>
            </w:pPr>
            <w:r w:rsidRPr="00EA61D6">
              <w:rPr>
                <w:color w:val="000000"/>
                <w:sz w:val="18"/>
                <w:szCs w:val="18"/>
              </w:rPr>
              <w:t>357 000,00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883584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По факту предоставления услуги</w:t>
            </w:r>
            <w:r w:rsidR="00E012BB" w:rsidRPr="00EA61D6">
              <w:rPr>
                <w:sz w:val="18"/>
                <w:szCs w:val="18"/>
              </w:rPr>
              <w:t>, на основании предоставленных теплоснабжающей организацией счета, счета-фактуры и акта приема-передачи энергоресурсов.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E34A51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E34A51" w:rsidP="00F84A59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59" w:rsidRPr="00EA61D6" w:rsidRDefault="001428B3" w:rsidP="00EE2796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Единствен</w:t>
            </w:r>
            <w:r w:rsidR="00883584" w:rsidRPr="00EA61D6">
              <w:rPr>
                <w:sz w:val="18"/>
                <w:szCs w:val="18"/>
              </w:rPr>
              <w:t>ный поставщик</w:t>
            </w:r>
          </w:p>
          <w:p w:rsidR="00494328" w:rsidRPr="00B36144" w:rsidRDefault="00494328" w:rsidP="00EE2796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Гл.2 ст.93 п.8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59" w:rsidRPr="00B36144" w:rsidRDefault="00F84A59">
            <w:pPr>
              <w:rPr>
                <w:sz w:val="18"/>
                <w:szCs w:val="18"/>
              </w:rPr>
            </w:pPr>
          </w:p>
        </w:tc>
      </w:tr>
      <w:tr w:rsidR="00E34A51" w:rsidRPr="00B361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1" w:rsidRPr="00115F44" w:rsidRDefault="00D9212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00101040110603244223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</w:p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012BB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40.12.41.0</w:t>
            </w:r>
          </w:p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2</w:t>
            </w:r>
          </w:p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Default="00E34A51" w:rsidP="00304D5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Поставка электрической энергии (мощности)</w:t>
            </w:r>
          </w:p>
          <w:p w:rsidR="004A284C" w:rsidRPr="00115F44" w:rsidRDefault="004A284C" w:rsidP="00304D51">
            <w:pPr>
              <w:rPr>
                <w:sz w:val="18"/>
                <w:szCs w:val="18"/>
              </w:rPr>
            </w:pPr>
          </w:p>
          <w:p w:rsidR="00E34A51" w:rsidRPr="00115F44" w:rsidRDefault="00E34A51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Гарантированная поставка электроэнергии в течение 2015 года</w:t>
            </w:r>
          </w:p>
          <w:p w:rsidR="00E34A51" w:rsidRPr="00115F44" w:rsidRDefault="00E34A51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proofErr w:type="spellStart"/>
            <w:r w:rsidRPr="00115F44">
              <w:rPr>
                <w:sz w:val="18"/>
                <w:szCs w:val="18"/>
              </w:rPr>
              <w:t>кВт</w:t>
            </w:r>
            <w:proofErr w:type="gramStart"/>
            <w:r w:rsidRPr="00115F44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1428B3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96996</w:t>
            </w:r>
          </w:p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D9212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176 400,00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8835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1428B3" w:rsidP="00EE2796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Единственный поставщик</w:t>
            </w:r>
          </w:p>
          <w:p w:rsidR="00494328" w:rsidRPr="00B36144" w:rsidRDefault="00494328" w:rsidP="00EE2796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Гл.2 ст.93 п.1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B361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B361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1" w:rsidRPr="00115F44" w:rsidRDefault="00D9212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00101130200007242226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72.60.10.000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1E17F4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Информацион</w:t>
            </w:r>
            <w:r w:rsidR="00E34A51" w:rsidRPr="00115F44">
              <w:rPr>
                <w:sz w:val="18"/>
                <w:szCs w:val="18"/>
              </w:rPr>
              <w:t>ная и техническая поддержка сайта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Default="00E34A51" w:rsidP="0055493C">
            <w:pPr>
              <w:rPr>
                <w:color w:val="000000"/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Информационная и техническая поддержка сайта в течение 2015 года</w:t>
            </w:r>
            <w:r w:rsidR="00C8659B" w:rsidRPr="00115F44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</w:t>
            </w:r>
            <w:r w:rsidR="00C8659B" w:rsidRPr="00115F44">
              <w:rPr>
                <w:color w:val="000000"/>
                <w:sz w:val="18"/>
                <w:szCs w:val="18"/>
              </w:rPr>
              <w:t xml:space="preserve">Консультирование Заказчика по всем вопросам, касающимся функционирования и развития сайта, корректировка и внесение изменений в дизайн сайта (добавление новых элементов дизайна), не влекущих за собой кардинального пересмотра общего стиля сайта. В том числе разработка, установка (снятие) со страниц сайта внутренних рекламных объявлений и баннеров. Внесение изменений в текстовое наполнение сайта, грамотное оформление текстовой и графической информации, экранная </w:t>
            </w:r>
            <w:proofErr w:type="spellStart"/>
            <w:r w:rsidR="00C8659B" w:rsidRPr="00115F44">
              <w:rPr>
                <w:color w:val="000000"/>
                <w:sz w:val="18"/>
                <w:szCs w:val="18"/>
              </w:rPr>
              <w:t>типографика</w:t>
            </w:r>
            <w:proofErr w:type="spellEnd"/>
            <w:r w:rsidR="00C8659B" w:rsidRPr="00115F44">
              <w:rPr>
                <w:color w:val="000000"/>
                <w:sz w:val="18"/>
                <w:szCs w:val="18"/>
              </w:rPr>
              <w:t>.</w:t>
            </w:r>
            <w:r w:rsidR="00C8659B" w:rsidRPr="00115F44">
              <w:rPr>
                <w:color w:val="000000"/>
                <w:sz w:val="18"/>
                <w:szCs w:val="18"/>
              </w:rPr>
              <w:br/>
              <w:t>Разработка новых модулей системы администрирования в соответствии с развитием ресурса.</w:t>
            </w:r>
            <w:r w:rsidR="00C8659B" w:rsidRPr="00115F44">
              <w:rPr>
                <w:color w:val="000000"/>
                <w:sz w:val="18"/>
                <w:szCs w:val="18"/>
              </w:rPr>
              <w:br/>
              <w:t xml:space="preserve"> Контроль безопасности.</w:t>
            </w:r>
            <w:r w:rsidR="00C8659B" w:rsidRPr="00115F44">
              <w:rPr>
                <w:color w:val="000000"/>
                <w:sz w:val="18"/>
                <w:szCs w:val="18"/>
              </w:rPr>
              <w:br/>
              <w:t>Разработка и добавление новых не</w:t>
            </w:r>
            <w:r w:rsidR="001428B3" w:rsidRPr="00115F44">
              <w:rPr>
                <w:color w:val="000000"/>
                <w:sz w:val="18"/>
                <w:szCs w:val="18"/>
              </w:rPr>
              <w:t xml:space="preserve"> </w:t>
            </w:r>
            <w:r w:rsidR="00C8659B" w:rsidRPr="00115F44">
              <w:rPr>
                <w:color w:val="000000"/>
                <w:sz w:val="18"/>
                <w:szCs w:val="18"/>
              </w:rPr>
              <w:t>глобальных видов сервиса.</w:t>
            </w:r>
            <w:r w:rsidR="00E930FA" w:rsidRPr="00115F44">
              <w:rPr>
                <w:color w:val="000000"/>
                <w:sz w:val="18"/>
                <w:szCs w:val="18"/>
              </w:rPr>
              <w:t xml:space="preserve"> </w:t>
            </w:r>
            <w:r w:rsidR="00C8659B" w:rsidRPr="00115F44">
              <w:rPr>
                <w:color w:val="000000"/>
                <w:sz w:val="18"/>
                <w:szCs w:val="18"/>
              </w:rPr>
              <w:t>Информирование Заказчика о появлении новых возможностей, сервисов в области построения сайтов.</w:t>
            </w:r>
            <w:r w:rsidR="00C8659B" w:rsidRPr="00115F44">
              <w:rPr>
                <w:color w:val="000000"/>
                <w:sz w:val="18"/>
                <w:szCs w:val="18"/>
              </w:rPr>
              <w:br/>
              <w:t xml:space="preserve">Исправление ошибок в статьях, возникших как по вине Исполнителя, так и Заказчика. </w:t>
            </w:r>
          </w:p>
          <w:p w:rsidR="004A284C" w:rsidRDefault="004A284C" w:rsidP="0055493C">
            <w:pPr>
              <w:rPr>
                <w:color w:val="000000"/>
                <w:sz w:val="18"/>
                <w:szCs w:val="18"/>
              </w:rPr>
            </w:pPr>
          </w:p>
          <w:p w:rsidR="004A284C" w:rsidRDefault="004A284C" w:rsidP="0055493C">
            <w:pPr>
              <w:rPr>
                <w:color w:val="000000"/>
                <w:sz w:val="18"/>
                <w:szCs w:val="18"/>
              </w:rPr>
            </w:pPr>
          </w:p>
          <w:p w:rsidR="004A284C" w:rsidRDefault="004A284C" w:rsidP="0055493C">
            <w:pPr>
              <w:rPr>
                <w:color w:val="000000"/>
                <w:sz w:val="18"/>
                <w:szCs w:val="18"/>
              </w:rPr>
            </w:pPr>
          </w:p>
          <w:p w:rsidR="004A284C" w:rsidRDefault="004A284C" w:rsidP="0055493C">
            <w:pPr>
              <w:rPr>
                <w:color w:val="000000"/>
                <w:sz w:val="18"/>
                <w:szCs w:val="18"/>
              </w:rPr>
            </w:pPr>
          </w:p>
          <w:p w:rsidR="004A284C" w:rsidRDefault="004A284C" w:rsidP="0055493C">
            <w:pPr>
              <w:rPr>
                <w:color w:val="000000"/>
                <w:sz w:val="18"/>
                <w:szCs w:val="18"/>
              </w:rPr>
            </w:pPr>
          </w:p>
          <w:p w:rsidR="004A284C" w:rsidRDefault="004A284C" w:rsidP="0055493C">
            <w:pPr>
              <w:rPr>
                <w:color w:val="000000"/>
                <w:sz w:val="18"/>
                <w:szCs w:val="18"/>
              </w:rPr>
            </w:pPr>
          </w:p>
          <w:p w:rsidR="004A284C" w:rsidRDefault="004A284C" w:rsidP="0055493C">
            <w:pPr>
              <w:rPr>
                <w:color w:val="000000"/>
                <w:sz w:val="18"/>
                <w:szCs w:val="18"/>
              </w:rPr>
            </w:pPr>
          </w:p>
          <w:p w:rsidR="004A284C" w:rsidRPr="00115F44" w:rsidRDefault="004A284C" w:rsidP="0055493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D9212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11 340,00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A" w:rsidRPr="00115F44" w:rsidRDefault="008835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По факту предоставления услуги</w:t>
            </w:r>
            <w:r w:rsidR="00E930FA" w:rsidRPr="00115F44">
              <w:rPr>
                <w:sz w:val="18"/>
                <w:szCs w:val="18"/>
              </w:rPr>
              <w:t xml:space="preserve"> на основании счета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94731" w:rsidRDefault="00E94731" w:rsidP="00E36450">
            <w:pPr>
              <w:rPr>
                <w:color w:val="000000" w:themeColor="text1"/>
                <w:sz w:val="18"/>
                <w:szCs w:val="18"/>
              </w:rPr>
            </w:pPr>
            <w:r w:rsidRPr="00115F44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B361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B36144" w:rsidTr="003F47CA">
        <w:trPr>
          <w:trHeight w:val="765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D9212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00101040110603244340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51.47.22.000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Поставка товара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Обеспечение хозяйственными и канцелярскими товарами в течени</w:t>
            </w:r>
            <w:proofErr w:type="gramStart"/>
            <w:r w:rsidRPr="00115F44">
              <w:rPr>
                <w:sz w:val="18"/>
                <w:szCs w:val="18"/>
              </w:rPr>
              <w:t>и</w:t>
            </w:r>
            <w:proofErr w:type="gramEnd"/>
            <w:r w:rsidRPr="00115F44">
              <w:rPr>
                <w:sz w:val="18"/>
                <w:szCs w:val="18"/>
              </w:rPr>
              <w:t xml:space="preserve"> 2015 года</w:t>
            </w:r>
          </w:p>
          <w:p w:rsidR="00C8659B" w:rsidRPr="00115F44" w:rsidRDefault="00C8659B">
            <w:pPr>
              <w:rPr>
                <w:sz w:val="18"/>
                <w:szCs w:val="18"/>
              </w:rPr>
            </w:pPr>
            <w:proofErr w:type="gramStart"/>
            <w:r w:rsidRPr="00115F44">
              <w:rPr>
                <w:sz w:val="18"/>
                <w:szCs w:val="18"/>
              </w:rPr>
              <w:t>Поставляемый товар, включая все его составные части и комплектующие к ним, должен быть работоспособным, новы, не бывшим в употреблении или эксплуатации, не восстановленным после ремонта и не собранным из восстановленных компонентов, серийным, иметь зарегистрированную торговую марку, заводской сборки, свободным от любых прав третьих лиц, не должен иметь дефектов, связанных с конструкцией, материалами или работой по его изготовлению и соответствовать требованиям</w:t>
            </w:r>
            <w:proofErr w:type="gramEnd"/>
            <w:r w:rsidRPr="00115F44">
              <w:rPr>
                <w:sz w:val="18"/>
                <w:szCs w:val="18"/>
              </w:rPr>
              <w:t xml:space="preserve"> комплектности и техническим характеристикам, указанным изготовителем. Поставляемое оборудование должно сопровождаться сертификатами соответствия оборудования, требованиям ГОСТ и соответствующим санитарно-эпидемиологическим заключениям (если это предусмотрено законодательством РФ)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D9212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167 438,00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4" w:rsidRDefault="00F9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1674,38/8371,9</w:t>
            </w:r>
          </w:p>
          <w:p w:rsidR="00E34A51" w:rsidRPr="00115F44" w:rsidRDefault="00C8659B" w:rsidP="00115F4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 (товарной накладной). Основанием для расчета между сторонами является акт приемки-передачи товара (товарная накладная), в котором указываются: сумма, подлежащая оплате в соответствии с условиями заключенного контракта, размер неустойки (штрафа), итоговая </w:t>
            </w:r>
            <w:proofErr w:type="gramStart"/>
            <w:r w:rsidRPr="00115F44">
              <w:rPr>
                <w:sz w:val="18"/>
                <w:szCs w:val="18"/>
              </w:rPr>
              <w:t>сумма</w:t>
            </w:r>
            <w:proofErr w:type="gramEnd"/>
            <w:r w:rsidRPr="00115F44">
              <w:rPr>
                <w:sz w:val="18"/>
                <w:szCs w:val="18"/>
              </w:rPr>
              <w:t xml:space="preserve"> подлежащая к оплате Поставщику по контракту и другие необходимые реквизиты. В случае неисполнения или ненадлежащего исполнения Поставщиком обязательства, предусмотренного контрактом, заказчик вправе производить оплату по контракту за вычетом соответствующего размера неустойки (штрафа, пени)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Default="00497F8A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открытый аукцион в электронной форме </w:t>
            </w:r>
          </w:p>
          <w:p w:rsidR="00E94731" w:rsidRPr="00B36144" w:rsidRDefault="00E9473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СМП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B361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B36144" w:rsidTr="003F47CA">
        <w:trPr>
          <w:trHeight w:val="10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D92121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00101040110603244223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EA6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2130A4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41.00.20.1</w:t>
            </w:r>
            <w:r w:rsidR="00C444A9" w:rsidRPr="00EA61D6">
              <w:rPr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E34A51" w:rsidP="00304D51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E34A51" w:rsidP="00A24B92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Услуги по холодному водоснабжению и водоотведению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Default="00E34A51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Обеспечение холодным водоснабжением и водоотведением в течение 2015 года</w:t>
            </w:r>
          </w:p>
          <w:p w:rsidR="004A284C" w:rsidRDefault="004A284C">
            <w:pPr>
              <w:rPr>
                <w:sz w:val="18"/>
                <w:szCs w:val="18"/>
              </w:rPr>
            </w:pPr>
          </w:p>
          <w:p w:rsidR="004A284C" w:rsidRDefault="004A284C">
            <w:pPr>
              <w:rPr>
                <w:sz w:val="18"/>
                <w:szCs w:val="18"/>
              </w:rPr>
            </w:pPr>
          </w:p>
          <w:p w:rsidR="004A284C" w:rsidRDefault="004A284C">
            <w:pPr>
              <w:rPr>
                <w:sz w:val="18"/>
                <w:szCs w:val="18"/>
              </w:rPr>
            </w:pPr>
          </w:p>
          <w:p w:rsidR="004A284C" w:rsidRPr="00EA61D6" w:rsidRDefault="004A284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EE2796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м3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D92121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6 720,00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1428B3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E34A51" w:rsidP="00F95984">
            <w:pPr>
              <w:jc w:val="center"/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E34A51" w:rsidP="00F95984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EA61D6" w:rsidRDefault="00883584" w:rsidP="00EE2796">
            <w:pPr>
              <w:rPr>
                <w:sz w:val="18"/>
                <w:szCs w:val="18"/>
              </w:rPr>
            </w:pPr>
            <w:proofErr w:type="gramStart"/>
            <w:r w:rsidRPr="00EA61D6">
              <w:rPr>
                <w:sz w:val="18"/>
                <w:szCs w:val="18"/>
              </w:rPr>
              <w:t>Единствен-</w:t>
            </w:r>
            <w:proofErr w:type="spellStart"/>
            <w:r w:rsidRPr="00EA61D6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A61D6">
              <w:rPr>
                <w:sz w:val="18"/>
                <w:szCs w:val="18"/>
              </w:rPr>
              <w:t xml:space="preserve"> поставщик</w:t>
            </w:r>
          </w:p>
          <w:p w:rsidR="00494328" w:rsidRPr="00B36144" w:rsidRDefault="00494328" w:rsidP="00EE2796">
            <w:pPr>
              <w:rPr>
                <w:sz w:val="18"/>
                <w:szCs w:val="18"/>
              </w:rPr>
            </w:pPr>
            <w:r w:rsidRPr="00EA61D6">
              <w:rPr>
                <w:sz w:val="18"/>
                <w:szCs w:val="18"/>
              </w:rPr>
              <w:t>Гл.2 ст.93 п.8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B361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B36144" w:rsidTr="003F47CA">
        <w:trPr>
          <w:trHeight w:val="10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D9212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00101040110603244221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64.11.12.190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Услуги почты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Default="00E34A5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Прием, обработка и пересылка корреспонденции в течени</w:t>
            </w:r>
            <w:proofErr w:type="gramStart"/>
            <w:r w:rsidRPr="00115F44">
              <w:rPr>
                <w:sz w:val="18"/>
                <w:szCs w:val="18"/>
              </w:rPr>
              <w:t>и</w:t>
            </w:r>
            <w:proofErr w:type="gramEnd"/>
            <w:r w:rsidRPr="00115F44">
              <w:rPr>
                <w:sz w:val="18"/>
                <w:szCs w:val="18"/>
              </w:rPr>
              <w:t xml:space="preserve"> 2015 года</w:t>
            </w:r>
          </w:p>
          <w:p w:rsidR="004A284C" w:rsidRDefault="004A284C">
            <w:pPr>
              <w:rPr>
                <w:sz w:val="18"/>
                <w:szCs w:val="18"/>
              </w:rPr>
            </w:pPr>
          </w:p>
          <w:p w:rsidR="004A284C" w:rsidRDefault="004A284C">
            <w:pPr>
              <w:rPr>
                <w:sz w:val="18"/>
                <w:szCs w:val="18"/>
              </w:rPr>
            </w:pPr>
          </w:p>
          <w:p w:rsidR="004A284C" w:rsidRPr="00115F44" w:rsidRDefault="004A284C">
            <w:pPr>
              <w:rPr>
                <w:sz w:val="18"/>
                <w:szCs w:val="18"/>
              </w:rPr>
            </w:pPr>
          </w:p>
          <w:p w:rsidR="00E930FA" w:rsidRPr="00115F44" w:rsidRDefault="00E930FA">
            <w:pPr>
              <w:rPr>
                <w:sz w:val="18"/>
                <w:szCs w:val="18"/>
              </w:rPr>
            </w:pPr>
          </w:p>
          <w:p w:rsidR="0037001A" w:rsidRPr="00115F44" w:rsidRDefault="0037001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D9212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10 500,00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B36144" w:rsidRDefault="00E94731" w:rsidP="00E94731">
            <w:pPr>
              <w:rPr>
                <w:sz w:val="18"/>
                <w:szCs w:val="18"/>
              </w:rPr>
            </w:pPr>
            <w:r w:rsidRPr="00115F44">
              <w:rPr>
                <w:color w:val="000000" w:themeColor="text1"/>
                <w:sz w:val="18"/>
                <w:szCs w:val="18"/>
              </w:rPr>
              <w:t>Единственный поставщик Гл.2, ст.93 п.</w:t>
            </w:r>
            <w:r w:rsidR="00863CB8" w:rsidRPr="00115F4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B361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D9212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00101130200007242226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72.60.10.000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Обеспечение работы сайта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Продление домена и хостинга на 2015 год</w:t>
            </w:r>
          </w:p>
          <w:p w:rsidR="00E930FA" w:rsidRPr="00115F44" w:rsidRDefault="00E930FA">
            <w:pPr>
              <w:rPr>
                <w:sz w:val="18"/>
                <w:szCs w:val="18"/>
              </w:rPr>
            </w:pPr>
          </w:p>
          <w:p w:rsidR="005869A9" w:rsidRPr="00115F44" w:rsidRDefault="005869A9">
            <w:pPr>
              <w:rPr>
                <w:sz w:val="18"/>
                <w:szCs w:val="18"/>
              </w:rPr>
            </w:pPr>
          </w:p>
          <w:p w:rsidR="005869A9" w:rsidRPr="00115F44" w:rsidRDefault="005869A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D9212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1 575,00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4" w:rsidRPr="00115F44" w:rsidRDefault="00115F4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 руб.</w:t>
            </w:r>
          </w:p>
          <w:p w:rsidR="00E34A51" w:rsidRPr="00115F44" w:rsidRDefault="00115F44" w:rsidP="00115F4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приемки-передачи товара, в котором указываются: сумма, подлежащая оплате в соответствии с условиями заключенного контракта, размер неустойки (штрафа), итоговая </w:t>
            </w:r>
            <w:proofErr w:type="gramStart"/>
            <w:r w:rsidRPr="00115F44">
              <w:rPr>
                <w:sz w:val="18"/>
                <w:szCs w:val="18"/>
              </w:rPr>
              <w:t>сумма</w:t>
            </w:r>
            <w:proofErr w:type="gramEnd"/>
            <w:r w:rsidRPr="00115F44">
              <w:rPr>
                <w:sz w:val="18"/>
                <w:szCs w:val="18"/>
              </w:rPr>
              <w:t xml:space="preserve"> подлежащая к оплате Поставщику по контракту и другие необходимые реквизиты. В случае неисполнения или ненадлежащего исполнения Поставщиком обязательства, предусмотренного контрактом, заказчик вправе производить оплату по контракту за вычетом соответствующего размера неустойки (штрафа, пени)</w:t>
            </w:r>
          </w:p>
          <w:p w:rsidR="00115F44" w:rsidRPr="00115F44" w:rsidRDefault="00115F44" w:rsidP="00115F4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F24E48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Запрос </w:t>
            </w:r>
            <w:r w:rsidR="00E36450" w:rsidRPr="00115F44">
              <w:rPr>
                <w:sz w:val="18"/>
                <w:szCs w:val="18"/>
              </w:rPr>
              <w:t>котировок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51" w:rsidRPr="00115F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5869A9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00101040111306122212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63.30.12.150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Оказание комплекса бизнес услуг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Оказание комплекса бизнес услуг в течение 2015 года</w:t>
            </w:r>
          </w:p>
          <w:p w:rsidR="00E930FA" w:rsidRPr="00115F44" w:rsidRDefault="00E930FA">
            <w:pPr>
              <w:rPr>
                <w:sz w:val="18"/>
                <w:szCs w:val="18"/>
              </w:rPr>
            </w:pPr>
          </w:p>
          <w:p w:rsidR="005869A9" w:rsidRPr="00115F44" w:rsidRDefault="005869A9">
            <w:pPr>
              <w:rPr>
                <w:sz w:val="18"/>
                <w:szCs w:val="18"/>
              </w:rPr>
            </w:pPr>
          </w:p>
          <w:p w:rsidR="005869A9" w:rsidRPr="00115F44" w:rsidRDefault="005869A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5869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105 000,00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4" w:rsidRPr="00115F44" w:rsidRDefault="00115F4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1050,00</w:t>
            </w:r>
            <w:r w:rsidR="00F95984">
              <w:rPr>
                <w:sz w:val="18"/>
                <w:szCs w:val="18"/>
              </w:rPr>
              <w:t>/5250,00</w:t>
            </w:r>
            <w:r w:rsidRPr="00115F44">
              <w:rPr>
                <w:sz w:val="18"/>
                <w:szCs w:val="18"/>
              </w:rPr>
              <w:t>.</w:t>
            </w:r>
          </w:p>
          <w:p w:rsidR="00115F44" w:rsidRPr="00115F44" w:rsidRDefault="00115F44">
            <w:pPr>
              <w:rPr>
                <w:sz w:val="18"/>
                <w:szCs w:val="18"/>
              </w:rPr>
            </w:pPr>
          </w:p>
          <w:p w:rsidR="00E34A51" w:rsidRDefault="00115F44" w:rsidP="00115F4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приемки-передачи товара, в котором указываются: сумма, подлежащая оплате в соответствии с условиями заключенного контракта, </w:t>
            </w:r>
            <w:r w:rsidRPr="00115F44">
              <w:rPr>
                <w:sz w:val="18"/>
                <w:szCs w:val="18"/>
              </w:rPr>
              <w:lastRenderedPageBreak/>
              <w:t xml:space="preserve">размер неустойки (штрафа), итоговая </w:t>
            </w:r>
            <w:proofErr w:type="gramStart"/>
            <w:r w:rsidRPr="00115F44">
              <w:rPr>
                <w:sz w:val="18"/>
                <w:szCs w:val="18"/>
              </w:rPr>
              <w:t>сумма</w:t>
            </w:r>
            <w:proofErr w:type="gramEnd"/>
            <w:r w:rsidRPr="00115F44">
              <w:rPr>
                <w:sz w:val="18"/>
                <w:szCs w:val="18"/>
              </w:rPr>
              <w:t xml:space="preserve"> подлежащая к оплате Поставщику по контракту и другие необходимые реквизиты. В случае неисполнения или ненадлежащего исполнения Поставщиком обязательства, предусмотренного контрактом, заказчик вправе производить оплату по контракту за вычетом соответствующего размера неустойки (штрафа, пени)</w:t>
            </w:r>
          </w:p>
          <w:p w:rsidR="004A284C" w:rsidRPr="00115F44" w:rsidRDefault="004A284C" w:rsidP="00115F4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9473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5869A9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00101040110603242340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3230150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Поставка оборудования и расходных материалов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9" w:rsidRPr="00115F44" w:rsidRDefault="005869A9">
            <w:pPr>
              <w:rPr>
                <w:sz w:val="18"/>
                <w:szCs w:val="18"/>
              </w:rPr>
            </w:pPr>
          </w:p>
          <w:p w:rsidR="00EE2796" w:rsidRPr="00115F44" w:rsidRDefault="00E34A51">
            <w:pPr>
              <w:rPr>
                <w:sz w:val="18"/>
                <w:szCs w:val="18"/>
              </w:rPr>
            </w:pPr>
            <w:proofErr w:type="gramStart"/>
            <w:r w:rsidRPr="00115F44">
              <w:rPr>
                <w:sz w:val="18"/>
                <w:szCs w:val="18"/>
              </w:rPr>
              <w:t>Поставка оборудования и расходных материалов – оргтехника в течение 2015 года</w:t>
            </w:r>
            <w:r w:rsidR="00883584" w:rsidRPr="00115F44">
              <w:rPr>
                <w:sz w:val="18"/>
                <w:szCs w:val="18"/>
              </w:rPr>
              <w:t xml:space="preserve"> Поставляемы</w:t>
            </w:r>
            <w:r w:rsidR="00C8659B" w:rsidRPr="00115F44">
              <w:rPr>
                <w:sz w:val="18"/>
                <w:szCs w:val="18"/>
              </w:rPr>
              <w:t>й</w:t>
            </w:r>
            <w:r w:rsidR="00883584" w:rsidRPr="00115F44">
              <w:rPr>
                <w:sz w:val="18"/>
                <w:szCs w:val="18"/>
              </w:rPr>
              <w:t xml:space="preserve"> товар, включая все его составные части и комплектующие к ним, должен быть работоспособным, новы, не бывшим в употреблении или эксплуатации, не восстановленным после ремонта и не собранным из восстановленных компонентов, серийным, иметь зарегистрированную торговую марку, заводской сборки, свободным от любых прав третьих лиц, не должен иметь дефектов, связанных с</w:t>
            </w:r>
            <w:proofErr w:type="gramEnd"/>
            <w:r w:rsidR="00883584" w:rsidRPr="00115F44">
              <w:rPr>
                <w:sz w:val="18"/>
                <w:szCs w:val="18"/>
              </w:rPr>
              <w:t xml:space="preserve"> конструкцией, материалами или работой</w:t>
            </w:r>
            <w:r w:rsidR="00975CCD" w:rsidRPr="00115F44">
              <w:rPr>
                <w:sz w:val="18"/>
                <w:szCs w:val="18"/>
              </w:rPr>
              <w:t xml:space="preserve"> по его изготовлению и соответствовать требованиям комплектности и техническим характеристикам, указанным изготовителем.</w:t>
            </w:r>
            <w:r w:rsidR="00883584" w:rsidRPr="00115F44">
              <w:rPr>
                <w:sz w:val="18"/>
                <w:szCs w:val="18"/>
              </w:rPr>
              <w:t xml:space="preserve"> Поставляемое оборудование должно сопровождаться сертификатами соответствия оборудования, требованиям ГОСТ и соответствующим санитарно-эпидемиологическим заключениям (если это предусмотрено законодательством РФ)</w:t>
            </w:r>
          </w:p>
          <w:p w:rsidR="0037001A" w:rsidRPr="00115F44" w:rsidRDefault="0037001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5869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15 750.00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975CCD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приемки-передачи товара, в котором указываются: сумма, подлежащая оплате в соответствии с условиями заключенного контракта, размер неустойки (штрафа), итоговая </w:t>
            </w:r>
            <w:proofErr w:type="gramStart"/>
            <w:r w:rsidRPr="00115F44">
              <w:rPr>
                <w:sz w:val="18"/>
                <w:szCs w:val="18"/>
              </w:rPr>
              <w:t>сумма</w:t>
            </w:r>
            <w:proofErr w:type="gramEnd"/>
            <w:r w:rsidRPr="00115F44">
              <w:rPr>
                <w:sz w:val="18"/>
                <w:szCs w:val="18"/>
              </w:rPr>
              <w:t xml:space="preserve"> подлежащая к оплате Поставщику по контракту и другие необходимые реквизиты. В случае неисполнения или ненадлежащего исполнения Поставщиком обязательства, предусмотренного контрактом, заказчик вправе производить оплату по контракту за вычетом соответствующего размера неустойки (штрафа, пени)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94731" w:rsidP="00E94731">
            <w:pPr>
              <w:rPr>
                <w:sz w:val="18"/>
                <w:szCs w:val="18"/>
              </w:rPr>
            </w:pPr>
            <w:r w:rsidRPr="00115F44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rPr>
                <w:sz w:val="18"/>
                <w:szCs w:val="18"/>
              </w:rPr>
            </w:pPr>
          </w:p>
        </w:tc>
      </w:tr>
      <w:tr w:rsidR="00E34A51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5869A9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00101040110603242221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304D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Default="00E34A51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Оказание услуг связи по абонентской плате и услуги интернета</w:t>
            </w:r>
          </w:p>
          <w:p w:rsidR="004A284C" w:rsidRPr="00115F44" w:rsidRDefault="004A284C" w:rsidP="00A24B92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A" w:rsidRPr="00115F44" w:rsidRDefault="00E34A51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Оказание услуг связи по абонентской плате и услуги интернета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5869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103 950,00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4" w:rsidRPr="00115F44" w:rsidRDefault="004D2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1039,50/5197,50</w:t>
            </w:r>
          </w:p>
          <w:p w:rsidR="00E34A51" w:rsidRPr="00115F44" w:rsidRDefault="001428B3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497F8A" w:rsidP="004D215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1" w:rsidRPr="00115F44" w:rsidRDefault="00E34A51">
            <w:pPr>
              <w:rPr>
                <w:sz w:val="18"/>
                <w:szCs w:val="18"/>
              </w:rPr>
            </w:pPr>
          </w:p>
        </w:tc>
      </w:tr>
      <w:tr w:rsidR="00A24B92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5869A9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00101130200007244226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C444A9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2130A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74.87.17.9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A" w:rsidRDefault="00A24B92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Оказание услуг по допечатной подготовке и полиграфическому исполнению информационного бюллетеня «Алакуртти наша земля», опубликованию объявлений в газету и изготовлению полиграфической, рекламной и сувенирной продукции</w:t>
            </w:r>
          </w:p>
          <w:p w:rsidR="004A284C" w:rsidRPr="00115F44" w:rsidRDefault="004A284C" w:rsidP="00A24B92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Оказание услуг по допечатной подготовке и полиграфическому исполнению, опубликованию объявлений в газету информационного бюллетеня «Алакуртти наша земля» и изготовлению полиграфической, рекламной и сувенирной продукции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5869A9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88 200,00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4" w:rsidRDefault="004D2152" w:rsidP="00F9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A24B92" w:rsidRPr="00115F44" w:rsidRDefault="00F24E48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По факту предоставления услуги</w:t>
            </w:r>
            <w:r w:rsidR="00EE2796" w:rsidRPr="00115F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4D2152" w:rsidP="00EE2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  <w:p w:rsidR="00E36450" w:rsidRPr="00115F44" w:rsidRDefault="00E36450" w:rsidP="00EE279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>
            <w:pPr>
              <w:rPr>
                <w:sz w:val="18"/>
                <w:szCs w:val="18"/>
              </w:rPr>
            </w:pPr>
          </w:p>
        </w:tc>
      </w:tr>
      <w:tr w:rsidR="00A24B92" w:rsidRPr="00115F44" w:rsidTr="001914D9">
        <w:trPr>
          <w:trHeight w:val="131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5869A9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00101040110603242225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C444A9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2130A4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72.50.12.000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A" w:rsidRDefault="00A24B92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Сервисное техническое обслуживание копировально-множительной техники</w:t>
            </w:r>
          </w:p>
          <w:p w:rsidR="004A284C" w:rsidRPr="00115F44" w:rsidRDefault="004A284C" w:rsidP="00A24B92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Сервисное техническое обслуживание копировально-множительной техники в течение 2014 года</w:t>
            </w:r>
          </w:p>
          <w:p w:rsidR="00EE2796" w:rsidRPr="00115F44" w:rsidRDefault="00EE2796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заправка </w:t>
            </w:r>
            <w:proofErr w:type="spellStart"/>
            <w:r w:rsidRPr="00115F44">
              <w:rPr>
                <w:sz w:val="18"/>
                <w:szCs w:val="18"/>
              </w:rPr>
              <w:t>катриджей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5869A9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16 538,00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EE2796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По факту предоставления услуги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94731" w:rsidP="00F95984">
            <w:pPr>
              <w:rPr>
                <w:sz w:val="18"/>
                <w:szCs w:val="18"/>
              </w:rPr>
            </w:pPr>
            <w:r w:rsidRPr="00115F44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rPr>
                <w:sz w:val="18"/>
                <w:szCs w:val="18"/>
              </w:rPr>
            </w:pPr>
          </w:p>
        </w:tc>
      </w:tr>
      <w:tr w:rsidR="00A24B92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944AFE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00101040110603242226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C444A9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2130A4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Услуги по передаче неисключительных прав на использование программного обеспечения – «Заработная плата (до 400 табельных номеров)»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передача неисключительных прав на использование программного обеспечения – «Заработная плата (до 400 табельных номеров)» на 2014 год</w:t>
            </w:r>
          </w:p>
          <w:p w:rsidR="00867A9C" w:rsidRDefault="00975CCD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Качество программного продукта должно соответствовать действ</w:t>
            </w:r>
            <w:r w:rsidR="003D7445" w:rsidRPr="00115F44">
              <w:rPr>
                <w:sz w:val="18"/>
                <w:szCs w:val="18"/>
              </w:rPr>
              <w:t>ующим в РФ нормам и требованиям, принятым для данного вида программного продукта. Программный продукт должен быть новым, не бывшим в эксплуатации. До передачи прав программный продукт должен храниться</w:t>
            </w:r>
            <w:r w:rsidR="00321415" w:rsidRPr="00115F44">
              <w:rPr>
                <w:sz w:val="18"/>
                <w:szCs w:val="18"/>
              </w:rPr>
              <w:t xml:space="preserve"> в упаковке, обеспечивающей сохранность программного продукта при транспортировании и предохраняющей от </w:t>
            </w:r>
            <w:r w:rsidR="00321415" w:rsidRPr="00115F44">
              <w:rPr>
                <w:sz w:val="18"/>
                <w:szCs w:val="18"/>
              </w:rPr>
              <w:lastRenderedPageBreak/>
              <w:t>повреждений и загрязнения. Лицензиар обязан предоставить неисключительные права Лицензиату на использование приобретаемого программного обеспечения в количестве и ассортименте, указанном ниже, а также документы, необходимые для 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4A284C" w:rsidRPr="00115F44" w:rsidRDefault="004A284C" w:rsidP="00F95984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944AFE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25 988,00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4" w:rsidRPr="00115F44" w:rsidRDefault="004D2152" w:rsidP="0032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259,88/1299,4</w:t>
            </w:r>
          </w:p>
          <w:p w:rsidR="00A24B92" w:rsidRPr="00115F44" w:rsidRDefault="00321415" w:rsidP="00321415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приема-передачи,  в котором указываются: сумма, подлежащая оплате в соответствии с условиями заключенного </w:t>
            </w:r>
            <w:r w:rsidRPr="00115F44">
              <w:rPr>
                <w:sz w:val="18"/>
                <w:szCs w:val="18"/>
              </w:rPr>
              <w:lastRenderedPageBreak/>
              <w:t xml:space="preserve">контракта, размер неустойки (штрафа), итоговая </w:t>
            </w:r>
            <w:proofErr w:type="gramStart"/>
            <w:r w:rsidRPr="00115F44">
              <w:rPr>
                <w:sz w:val="18"/>
                <w:szCs w:val="18"/>
              </w:rPr>
              <w:t>сумма</w:t>
            </w:r>
            <w:proofErr w:type="gramEnd"/>
            <w:r w:rsidRPr="00115F44">
              <w:rPr>
                <w:sz w:val="18"/>
                <w:szCs w:val="18"/>
              </w:rPr>
              <w:t xml:space="preserve"> подлежащая к оплате Лицензиару по контракту и другие необходимые реквизиты. В случае неисполнения или ненадлежащего исполнения Лицензиаром обязательства, предусмотренного контрактом, Лицензиат вправе производить оплату по контракту за вычетом соответствующего размера неустойки (штрафа, пени)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1914D9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rPr>
                <w:sz w:val="18"/>
                <w:szCs w:val="18"/>
              </w:rPr>
            </w:pPr>
          </w:p>
        </w:tc>
      </w:tr>
      <w:tr w:rsidR="00A24B92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944AFE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00101040110603242226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C444A9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2130A4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A24B92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Услуги по передаче неисключительных прав использования Программы в определенных конфигурациях и с определенной </w:t>
            </w:r>
            <w:proofErr w:type="spellStart"/>
            <w:proofErr w:type="gramStart"/>
            <w:r w:rsidRPr="00115F44">
              <w:rPr>
                <w:sz w:val="18"/>
                <w:szCs w:val="18"/>
              </w:rPr>
              <w:t>функциональ-ностью</w:t>
            </w:r>
            <w:proofErr w:type="spellEnd"/>
            <w:proofErr w:type="gramEnd"/>
            <w:r w:rsidRPr="00115F44">
              <w:rPr>
                <w:sz w:val="18"/>
                <w:szCs w:val="18"/>
              </w:rPr>
              <w:t>, формирование, хранение и проверка отчетности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5" w:rsidRPr="00115F44" w:rsidRDefault="00321415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передача</w:t>
            </w:r>
            <w:r w:rsidR="00A24B92" w:rsidRPr="00115F44">
              <w:rPr>
                <w:sz w:val="18"/>
                <w:szCs w:val="18"/>
              </w:rPr>
              <w:t xml:space="preserve"> неисключительных прав использования Программы в определенных конфигурациях и с определенной функциональностью, формирование, хранение и проверка отчетности в течение 2014 года</w:t>
            </w:r>
          </w:p>
          <w:p w:rsidR="00867A9C" w:rsidRDefault="00321415" w:rsidP="00321415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Качество программного продукта должно соответствовать действующим в РФ нормам и требованиям, принятым для данного вида программного продукта. Программный продукт должен быть новым, не бывшим в эксплуатации. До передачи прав программный продукт должен храниться в упаковке, обеспечивающей сохранность программного продукта при транспортировании и предохраняющей от повреждений и загрязнения. Лицензиар обязан предоставить неисключительные права Лицензиату на использование приобретаемого программного обеспечения в количестве и ассортименте, указанном ниже, а также документы, необходимые для установки и использования приобретаемого </w:t>
            </w:r>
            <w:r w:rsidRPr="00115F44">
              <w:rPr>
                <w:sz w:val="18"/>
                <w:szCs w:val="18"/>
              </w:rPr>
              <w:lastRenderedPageBreak/>
              <w:t>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</w:t>
            </w:r>
            <w:r w:rsidR="00867A9C" w:rsidRPr="00115F44">
              <w:rPr>
                <w:sz w:val="18"/>
                <w:szCs w:val="18"/>
              </w:rPr>
              <w:t>.</w:t>
            </w:r>
          </w:p>
          <w:p w:rsidR="004A284C" w:rsidRPr="00115F44" w:rsidRDefault="004A284C" w:rsidP="0032141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944AFE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5 355,00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4" w:rsidRPr="00115F44" w:rsidRDefault="002130A4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0 руб.</w:t>
            </w:r>
          </w:p>
          <w:p w:rsidR="00A24B92" w:rsidRPr="00115F44" w:rsidRDefault="00321415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приема-передачи,  в котором указываются: сумма, подлежащая оплате в соответствии с условиями заключенного контракта, размер неустойки (штрафа), итоговая </w:t>
            </w:r>
            <w:proofErr w:type="gramStart"/>
            <w:r w:rsidRPr="00115F44">
              <w:rPr>
                <w:sz w:val="18"/>
                <w:szCs w:val="18"/>
              </w:rPr>
              <w:t>сумма</w:t>
            </w:r>
            <w:proofErr w:type="gramEnd"/>
            <w:r w:rsidRPr="00115F44">
              <w:rPr>
                <w:sz w:val="18"/>
                <w:szCs w:val="18"/>
              </w:rPr>
              <w:t xml:space="preserve"> подлежащая к оплате Лицензиару по контракту и другие необходимые реквизиты. В случае неисполнения или ненадлежащего исполнения Лицензиаром обязательства, предусмотренного </w:t>
            </w:r>
            <w:r w:rsidRPr="00115F44">
              <w:rPr>
                <w:sz w:val="18"/>
                <w:szCs w:val="18"/>
              </w:rPr>
              <w:lastRenderedPageBreak/>
              <w:t>контрактом, Лицензиат вправе производить оплату по контракту за вычетом соответствующего размера неустойки (штрафа, пени)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lastRenderedPageBreak/>
              <w:t>12.2014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jc w:val="center"/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31.12.2015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D8242C" w:rsidP="00F95984">
            <w:pPr>
              <w:rPr>
                <w:sz w:val="18"/>
                <w:szCs w:val="18"/>
              </w:rPr>
            </w:pPr>
            <w:r w:rsidRPr="00115F44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2" w:rsidRPr="00115F44" w:rsidRDefault="00A24B92" w:rsidP="00F95984">
            <w:pPr>
              <w:rPr>
                <w:sz w:val="18"/>
                <w:szCs w:val="18"/>
              </w:rPr>
            </w:pPr>
          </w:p>
        </w:tc>
      </w:tr>
      <w:tr w:rsidR="00497F8A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A24B92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Default="00497F8A" w:rsidP="00F9598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</w:t>
            </w:r>
            <w:r w:rsidR="001914D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128,00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Default="001914D9" w:rsidP="00F95984">
            <w:pPr>
              <w:rPr>
                <w:color w:val="000000" w:themeColor="text1"/>
                <w:sz w:val="18"/>
                <w:szCs w:val="18"/>
              </w:rPr>
            </w:pPr>
            <w:r w:rsidRPr="00115F44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A" w:rsidRPr="00115F44" w:rsidRDefault="00497F8A" w:rsidP="00F95984">
            <w:pPr>
              <w:rPr>
                <w:sz w:val="18"/>
                <w:szCs w:val="18"/>
              </w:rPr>
            </w:pPr>
          </w:p>
        </w:tc>
      </w:tr>
      <w:tr w:rsidR="00E36450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A24B92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4A284C" w:rsidP="00F9598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167 438,00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C" w:rsidRPr="00115F44" w:rsidRDefault="004A284C" w:rsidP="00F959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СМП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sz w:val="18"/>
                <w:szCs w:val="18"/>
              </w:rPr>
            </w:pPr>
          </w:p>
        </w:tc>
      </w:tr>
      <w:tr w:rsidR="00863CB8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A24B92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E364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240362" w:rsidP="00F9598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95 130,00</w:t>
            </w:r>
            <w:bookmarkStart w:id="0" w:name="_GoBack"/>
            <w:bookmarkEnd w:id="0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C" w:rsidRPr="00115F44" w:rsidRDefault="004A284C" w:rsidP="00F959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Запросы котировок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15F44" w:rsidRDefault="00863CB8" w:rsidP="00F95984">
            <w:pPr>
              <w:rPr>
                <w:sz w:val="18"/>
                <w:szCs w:val="18"/>
              </w:rPr>
            </w:pPr>
          </w:p>
        </w:tc>
      </w:tr>
      <w:tr w:rsidR="00E36450" w:rsidRPr="00115F44" w:rsidTr="003F47CA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A24B92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4A284C" w:rsidP="00F9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9C" w:rsidRPr="00115F44" w:rsidRDefault="00944AFE" w:rsidP="00867A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15F44">
              <w:rPr>
                <w:b/>
                <w:color w:val="000000" w:themeColor="text1"/>
                <w:sz w:val="18"/>
                <w:szCs w:val="18"/>
              </w:rPr>
              <w:t>1 091 754,00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0" w:rsidRPr="00115F44" w:rsidRDefault="00E36450" w:rsidP="00F95984">
            <w:pPr>
              <w:rPr>
                <w:sz w:val="18"/>
                <w:szCs w:val="18"/>
              </w:rPr>
            </w:pPr>
          </w:p>
        </w:tc>
      </w:tr>
    </w:tbl>
    <w:p w:rsidR="004A284C" w:rsidRDefault="00696569" w:rsidP="00696569">
      <w:pPr>
        <w:tabs>
          <w:tab w:val="left" w:pos="8160"/>
        </w:tabs>
      </w:pPr>
      <w:r w:rsidRPr="00115F44">
        <w:tab/>
      </w:r>
    </w:p>
    <w:p w:rsidR="004A284C" w:rsidRDefault="004A284C" w:rsidP="00696569">
      <w:pPr>
        <w:tabs>
          <w:tab w:val="left" w:pos="8160"/>
        </w:tabs>
      </w:pPr>
    </w:p>
    <w:p w:rsidR="004A284C" w:rsidRDefault="004A284C" w:rsidP="00696569">
      <w:pPr>
        <w:tabs>
          <w:tab w:val="left" w:pos="8160"/>
        </w:tabs>
      </w:pPr>
    </w:p>
    <w:p w:rsidR="00696569" w:rsidRPr="00115F44" w:rsidRDefault="004A284C" w:rsidP="00696569">
      <w:pPr>
        <w:tabs>
          <w:tab w:val="left" w:pos="8160"/>
        </w:tabs>
      </w:pPr>
      <w:r>
        <w:t xml:space="preserve">                                                                                                                               </w:t>
      </w:r>
      <w:r w:rsidR="00696569" w:rsidRPr="00115F44">
        <w:rPr>
          <w:noProof/>
        </w:rPr>
        <w:drawing>
          <wp:inline distT="0" distB="0" distL="0" distR="0">
            <wp:extent cx="895350" cy="447675"/>
            <wp:effectExtent l="0" t="0" r="0" b="9525"/>
            <wp:docPr id="2052" name="Рисунок 1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1" descr="Подпись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86" cy="46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26D3" w:rsidRPr="00115F44" w:rsidRDefault="00696569" w:rsidP="00696569">
      <w:pPr>
        <w:tabs>
          <w:tab w:val="left" w:pos="11850"/>
        </w:tabs>
      </w:pPr>
      <w:r w:rsidRPr="00115F44">
        <w:rPr>
          <w:u w:val="single"/>
        </w:rPr>
        <w:t xml:space="preserve">Владимиров А.О., Глава МО сельское поселение Алакуртти </w:t>
      </w:r>
      <w:r w:rsidRPr="00115F44">
        <w:t xml:space="preserve">               _____________________                           </w:t>
      </w:r>
      <w:r w:rsidR="00E94731" w:rsidRPr="00115F44">
        <w:rPr>
          <w:u w:val="single"/>
        </w:rPr>
        <w:t>«31</w:t>
      </w:r>
      <w:r w:rsidR="0055493C" w:rsidRPr="00115F44">
        <w:rPr>
          <w:u w:val="single"/>
        </w:rPr>
        <w:t>» декабря</w:t>
      </w:r>
      <w:r w:rsidRPr="00115F44">
        <w:rPr>
          <w:u w:val="single"/>
        </w:rPr>
        <w:t xml:space="preserve"> 2013 года</w:t>
      </w:r>
      <w:r w:rsidRPr="00115F44">
        <w:t xml:space="preserve"> </w:t>
      </w:r>
      <w:r w:rsidRPr="00115F44">
        <w:tab/>
      </w:r>
    </w:p>
    <w:p w:rsidR="00696569" w:rsidRPr="00696569" w:rsidRDefault="00696569" w:rsidP="00696569">
      <w:pPr>
        <w:tabs>
          <w:tab w:val="left" w:pos="11340"/>
        </w:tabs>
        <w:rPr>
          <w:sz w:val="18"/>
          <w:szCs w:val="18"/>
        </w:rPr>
      </w:pPr>
      <w:r w:rsidRPr="00115F44">
        <w:rPr>
          <w:sz w:val="18"/>
          <w:szCs w:val="18"/>
        </w:rPr>
        <w:t>(</w:t>
      </w:r>
      <w:r w:rsidRPr="00696569">
        <w:rPr>
          <w:sz w:val="18"/>
          <w:szCs w:val="18"/>
        </w:rPr>
        <w:t>Ф.И.О., должность руководител</w:t>
      </w:r>
      <w:proofErr w:type="gramStart"/>
      <w:r w:rsidRPr="00696569">
        <w:rPr>
          <w:sz w:val="18"/>
          <w:szCs w:val="18"/>
        </w:rPr>
        <w:t>я(</w:t>
      </w:r>
      <w:proofErr w:type="gramEnd"/>
      <w:r w:rsidRPr="00696569">
        <w:rPr>
          <w:sz w:val="18"/>
          <w:szCs w:val="18"/>
        </w:rPr>
        <w:t>уполномоченного лица)заказчика</w:t>
      </w:r>
      <w:r>
        <w:rPr>
          <w:sz w:val="18"/>
          <w:szCs w:val="18"/>
        </w:rPr>
        <w:t>)                                                         (подпись)                                                                     (дата утверждения)</w:t>
      </w:r>
    </w:p>
    <w:sectPr w:rsidR="00696569" w:rsidRPr="00696569" w:rsidSect="00B36144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84" w:rsidRDefault="00F95984" w:rsidP="00F84A59">
      <w:r>
        <w:separator/>
      </w:r>
    </w:p>
  </w:endnote>
  <w:endnote w:type="continuationSeparator" w:id="0">
    <w:p w:rsidR="00F95984" w:rsidRDefault="00F95984" w:rsidP="00F8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84" w:rsidRDefault="00F95984" w:rsidP="00F84A59">
      <w:r>
        <w:separator/>
      </w:r>
    </w:p>
  </w:footnote>
  <w:footnote w:type="continuationSeparator" w:id="0">
    <w:p w:rsidR="00F95984" w:rsidRDefault="00F95984" w:rsidP="00F84A59">
      <w:r>
        <w:continuationSeparator/>
      </w:r>
    </w:p>
  </w:footnote>
  <w:footnote w:id="1">
    <w:p w:rsidR="00F95984" w:rsidRDefault="00F95984" w:rsidP="00F84A59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A3E"/>
    <w:multiLevelType w:val="multilevel"/>
    <w:tmpl w:val="9B6E41B8"/>
    <w:styleLink w:val="2"/>
    <w:lvl w:ilvl="0">
      <w:start w:val="8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suff w:val="space"/>
      <w:lvlText w:val="%1.%2."/>
      <w:lvlJc w:val="left"/>
      <w:pPr>
        <w:ind w:left="153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59"/>
    <w:rsid w:val="00091600"/>
    <w:rsid w:val="000C1FCD"/>
    <w:rsid w:val="000D7DD2"/>
    <w:rsid w:val="000E44D2"/>
    <w:rsid w:val="00100FD5"/>
    <w:rsid w:val="00115F44"/>
    <w:rsid w:val="00117804"/>
    <w:rsid w:val="00140BFF"/>
    <w:rsid w:val="001428B3"/>
    <w:rsid w:val="00151A78"/>
    <w:rsid w:val="001914D9"/>
    <w:rsid w:val="001E17F4"/>
    <w:rsid w:val="002015F5"/>
    <w:rsid w:val="002130A4"/>
    <w:rsid w:val="00226DA2"/>
    <w:rsid w:val="0023268E"/>
    <w:rsid w:val="00240362"/>
    <w:rsid w:val="00304D51"/>
    <w:rsid w:val="00321415"/>
    <w:rsid w:val="00342D8B"/>
    <w:rsid w:val="00352AA7"/>
    <w:rsid w:val="0037001A"/>
    <w:rsid w:val="0038493B"/>
    <w:rsid w:val="003A35F3"/>
    <w:rsid w:val="003B708A"/>
    <w:rsid w:val="003D7445"/>
    <w:rsid w:val="003F34BC"/>
    <w:rsid w:val="003F47CA"/>
    <w:rsid w:val="00405A8F"/>
    <w:rsid w:val="0041748B"/>
    <w:rsid w:val="00427669"/>
    <w:rsid w:val="00494328"/>
    <w:rsid w:val="00497F8A"/>
    <w:rsid w:val="004A284C"/>
    <w:rsid w:val="004C2109"/>
    <w:rsid w:val="004D2152"/>
    <w:rsid w:val="0050707C"/>
    <w:rsid w:val="0055493C"/>
    <w:rsid w:val="005869A9"/>
    <w:rsid w:val="005A16C7"/>
    <w:rsid w:val="005F3E15"/>
    <w:rsid w:val="006361D7"/>
    <w:rsid w:val="00644E40"/>
    <w:rsid w:val="00696569"/>
    <w:rsid w:val="006E1FA2"/>
    <w:rsid w:val="00731C31"/>
    <w:rsid w:val="00765F4F"/>
    <w:rsid w:val="007A018A"/>
    <w:rsid w:val="008001ED"/>
    <w:rsid w:val="00834854"/>
    <w:rsid w:val="00862593"/>
    <w:rsid w:val="00863CB8"/>
    <w:rsid w:val="00867A9C"/>
    <w:rsid w:val="00883584"/>
    <w:rsid w:val="008F2392"/>
    <w:rsid w:val="00944AFE"/>
    <w:rsid w:val="00975CCD"/>
    <w:rsid w:val="009B4981"/>
    <w:rsid w:val="00A24205"/>
    <w:rsid w:val="00A24B92"/>
    <w:rsid w:val="00A31C82"/>
    <w:rsid w:val="00A63496"/>
    <w:rsid w:val="00AB1543"/>
    <w:rsid w:val="00AB2D56"/>
    <w:rsid w:val="00AE7950"/>
    <w:rsid w:val="00B11DCC"/>
    <w:rsid w:val="00B153DB"/>
    <w:rsid w:val="00B36144"/>
    <w:rsid w:val="00B43163"/>
    <w:rsid w:val="00B54635"/>
    <w:rsid w:val="00B55A16"/>
    <w:rsid w:val="00B650DF"/>
    <w:rsid w:val="00BD26D3"/>
    <w:rsid w:val="00C25D56"/>
    <w:rsid w:val="00C27F25"/>
    <w:rsid w:val="00C444A9"/>
    <w:rsid w:val="00C60F23"/>
    <w:rsid w:val="00C81D64"/>
    <w:rsid w:val="00C82F3E"/>
    <w:rsid w:val="00C8659B"/>
    <w:rsid w:val="00C956A6"/>
    <w:rsid w:val="00CE09A3"/>
    <w:rsid w:val="00D05E4E"/>
    <w:rsid w:val="00D8242C"/>
    <w:rsid w:val="00D909EF"/>
    <w:rsid w:val="00D92121"/>
    <w:rsid w:val="00E012BB"/>
    <w:rsid w:val="00E0141A"/>
    <w:rsid w:val="00E137CE"/>
    <w:rsid w:val="00E34A51"/>
    <w:rsid w:val="00E35BB0"/>
    <w:rsid w:val="00E36450"/>
    <w:rsid w:val="00E930FA"/>
    <w:rsid w:val="00E94731"/>
    <w:rsid w:val="00EA61D6"/>
    <w:rsid w:val="00EE2796"/>
    <w:rsid w:val="00F0552F"/>
    <w:rsid w:val="00F24E48"/>
    <w:rsid w:val="00F84A59"/>
    <w:rsid w:val="00F95984"/>
    <w:rsid w:val="00FC18F0"/>
    <w:rsid w:val="00FC2FFF"/>
    <w:rsid w:val="00FE45B5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4A59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4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. Пункт"/>
    <w:basedOn w:val="a"/>
    <w:qFormat/>
    <w:rsid w:val="00F84A59"/>
    <w:pPr>
      <w:numPr>
        <w:numId w:val="1"/>
      </w:numPr>
      <w:autoSpaceDE w:val="0"/>
      <w:autoSpaceDN w:val="0"/>
      <w:adjustRightInd w:val="0"/>
      <w:spacing w:after="200" w:line="276" w:lineRule="auto"/>
      <w:jc w:val="center"/>
      <w:outlineLvl w:val="2"/>
    </w:pPr>
    <w:rPr>
      <w:rFonts w:ascii="Calibri" w:hAnsi="Calibri"/>
      <w:b/>
      <w:sz w:val="22"/>
      <w:szCs w:val="22"/>
      <w:lang w:val="en-US" w:eastAsia="en-US"/>
    </w:rPr>
  </w:style>
  <w:style w:type="character" w:customStyle="1" w:styleId="21">
    <w:name w:val="2. Подпункт Знак"/>
    <w:link w:val="20"/>
    <w:locked/>
    <w:rsid w:val="00F84A59"/>
    <w:rPr>
      <w:sz w:val="24"/>
      <w:szCs w:val="24"/>
    </w:rPr>
  </w:style>
  <w:style w:type="paragraph" w:customStyle="1" w:styleId="20">
    <w:name w:val="2. Подпункт"/>
    <w:basedOn w:val="1"/>
    <w:link w:val="21"/>
    <w:qFormat/>
    <w:rsid w:val="00F84A59"/>
    <w:pPr>
      <w:numPr>
        <w:ilvl w:val="1"/>
      </w:numPr>
      <w:ind w:hanging="360"/>
      <w:jc w:val="both"/>
    </w:pPr>
    <w:rPr>
      <w:rFonts w:asciiTheme="minorHAnsi" w:eastAsiaTheme="minorHAnsi" w:hAnsiTheme="minorHAnsi" w:cstheme="minorBidi"/>
      <w:b w:val="0"/>
      <w:sz w:val="24"/>
      <w:szCs w:val="24"/>
      <w:lang w:val="ru-RU"/>
    </w:rPr>
  </w:style>
  <w:style w:type="character" w:styleId="a5">
    <w:name w:val="footnote reference"/>
    <w:basedOn w:val="a0"/>
    <w:uiPriority w:val="99"/>
    <w:semiHidden/>
    <w:unhideWhenUsed/>
    <w:rsid w:val="00F84A59"/>
    <w:rPr>
      <w:rFonts w:ascii="Times New Roman" w:hAnsi="Times New Roman" w:cs="Times New Roman" w:hint="default"/>
      <w:vertAlign w:val="superscript"/>
    </w:rPr>
  </w:style>
  <w:style w:type="character" w:customStyle="1" w:styleId="iceouttxt5">
    <w:name w:val="iceouttxt5"/>
    <w:rsid w:val="00F84A59"/>
    <w:rPr>
      <w:rFonts w:ascii="Arial" w:hAnsi="Arial" w:cs="Arial" w:hint="default"/>
      <w:color w:val="000000"/>
      <w:sz w:val="17"/>
    </w:rPr>
  </w:style>
  <w:style w:type="character" w:customStyle="1" w:styleId="iceouttxt6">
    <w:name w:val="iceouttxt6"/>
    <w:rsid w:val="00F84A59"/>
    <w:rPr>
      <w:rFonts w:ascii="Arial" w:hAnsi="Arial" w:cs="Arial" w:hint="default"/>
      <w:color w:val="000000"/>
      <w:sz w:val="17"/>
    </w:rPr>
  </w:style>
  <w:style w:type="table" w:styleId="a6">
    <w:name w:val="Table Grid"/>
    <w:basedOn w:val="a1"/>
    <w:uiPriority w:val="99"/>
    <w:rsid w:val="00F84A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84A59"/>
    <w:rPr>
      <w:color w:val="0000FF"/>
      <w:u w:val="single"/>
    </w:rPr>
  </w:style>
  <w:style w:type="numbering" w:customStyle="1" w:styleId="2">
    <w:name w:val="Стиль_Список2"/>
    <w:rsid w:val="00F84A59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696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3</cp:revision>
  <cp:lastPrinted>2014-01-17T11:11:00Z</cp:lastPrinted>
  <dcterms:created xsi:type="dcterms:W3CDTF">2014-01-12T13:31:00Z</dcterms:created>
  <dcterms:modified xsi:type="dcterms:W3CDTF">2014-01-17T12:23:00Z</dcterms:modified>
</cp:coreProperties>
</file>