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4075"/>
      </w:tblGrid>
      <w:tr w:rsidR="006307D1" w:rsidRPr="006307D1" w:rsidTr="006307D1">
        <w:trPr>
          <w:trHeight w:val="1180"/>
        </w:trPr>
        <w:tc>
          <w:tcPr>
            <w:tcW w:w="4678" w:type="dxa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Алакуртти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Кандалакшского района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Алакуртти Кандалакшского района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2018-2022 годы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 xml:space="preserve">Повышение уровня благоустройства территорий </w:t>
            </w:r>
            <w:r>
              <w:rPr>
                <w:rFonts w:ascii="Times New Roman" w:eastAsia="Times New Roman" w:hAnsi="Times New Roman"/>
              </w:rPr>
              <w:t xml:space="preserve">сельское поселение </w:t>
            </w:r>
            <w:r w:rsidRPr="006307D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Алакуртти Кандалакшского района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 xml:space="preserve">Повышение уровня благоустройства дворовых территорий и территорий общего пользования </w:t>
            </w:r>
            <w:r w:rsidRPr="006307D1">
              <w:rPr>
                <w:rFonts w:ascii="Times New Roman" w:eastAsia="Times New Roman" w:hAnsi="Times New Roman"/>
              </w:rPr>
              <w:t>сельское поселение  Алакуртти Кандалакшского района</w:t>
            </w:r>
            <w:r w:rsidRPr="006307D1">
              <w:rPr>
                <w:rFonts w:ascii="Times New Roman" w:eastAsia="Times New Roman" w:hAnsi="Times New Roman"/>
              </w:rPr>
              <w:t>.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Доля выполненных мероприятий по благоустройству территорий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Перечень подпрограмм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 xml:space="preserve">Подпрограмма «Обеспечение комплексного благоустройства территорий муниципального образования </w:t>
            </w:r>
            <w:r w:rsidRPr="006307D1">
              <w:rPr>
                <w:rFonts w:ascii="Times New Roman" w:eastAsia="Times New Roman" w:hAnsi="Times New Roman"/>
              </w:rPr>
              <w:t>сельское поселение Алакуртти Кандалакшского района</w:t>
            </w:r>
            <w:r w:rsidRPr="006307D1">
              <w:rPr>
                <w:rFonts w:ascii="Times New Roman" w:eastAsia="Times New Roman" w:hAnsi="Times New Roman"/>
                <w:bCs/>
              </w:rPr>
              <w:t xml:space="preserve">» на </w:t>
            </w:r>
            <w:r w:rsidRPr="006307D1">
              <w:rPr>
                <w:rFonts w:ascii="Times New Roman" w:eastAsia="Times New Roman" w:hAnsi="Times New Roman"/>
              </w:rPr>
              <w:t>2018-2022 годы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Заказчики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Муниципальное казенное учреждение «Многофункциональный центр Алакуртти»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Заказчик-координатор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Администрация сельского поселения Алакуртти Кандалакшского района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2018-2022 годы</w:t>
            </w:r>
          </w:p>
        </w:tc>
      </w:tr>
      <w:tr w:rsidR="006307D1" w:rsidRPr="006307D1" w:rsidTr="006307D1">
        <w:trPr>
          <w:trHeight w:val="507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Финансовое обеспечение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Всего по программе </w:t>
            </w: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2 735,68</w:t>
            </w: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тыс. руб., в т. ч.: 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МБ: 136,78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2018 год – 88,06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2019 год – 48,72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2020 год –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2021 год – 0,0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2022 год – 0,0  тыс. руб.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ОБ: 1 851,4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2018 год – 925,7 тыс. руб.; 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2019 год – 925,7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2020 год – 0,0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2021 год - 0,0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2022 год - 0,0 тыс. руб.,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ФБ: 747,5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2018 год – 747,5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2019 год –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2020 год - 0,0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2021 год - 0,0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2022 год - 0,0 тыс. руб.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Повышение уровня благоустройства дворовых территорий и территорий общего пользования сельского поселения Алакуртти Кандалакшского района – 100%</w:t>
            </w:r>
          </w:p>
        </w:tc>
      </w:tr>
    </w:tbl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7D1" w:rsidRPr="006307D1" w:rsidRDefault="006307D1" w:rsidP="006307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«Обеспечение комплексного благоустройства территорий муниципального образования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Алакуртти Кандалакшского района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2018-2022 годы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подпрограммы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и территорий общего пользования </w:t>
            </w: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  Алакуртти Кандалакшского района</w:t>
            </w:r>
            <w:bookmarkStart w:id="0" w:name="_GoBack"/>
            <w:bookmarkEnd w:id="0"/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Pr="006307D1">
              <w:rPr>
                <w:rFonts w:ascii="Times New Roman" w:eastAsia="Times New Roman" w:hAnsi="Times New Roman"/>
              </w:rPr>
              <w:t>сельского поселения Алакуртти Кандалакшского района</w:t>
            </w: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 xml:space="preserve">уровня благоустройства территорий общего пользования </w:t>
            </w:r>
            <w:r w:rsidRPr="006307D1">
              <w:rPr>
                <w:rFonts w:ascii="Times New Roman" w:eastAsia="Times New Roman" w:hAnsi="Times New Roman"/>
              </w:rPr>
              <w:t>сельского поселения Алакуртти Кандалакшского района</w:t>
            </w:r>
            <w:proofErr w:type="gramEnd"/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Доля выполненных мероприятий по благоустройству территорий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Муниципальное казенное учреждение «Многофункциональный центр Алакуртти»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both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</w:rPr>
              <w:t>Администрация сельского поселения Алакуртти Кандалакшского района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2018-2022 годы</w:t>
            </w:r>
          </w:p>
        </w:tc>
      </w:tr>
      <w:tr w:rsidR="006307D1" w:rsidRPr="006307D1" w:rsidTr="006307D1">
        <w:trPr>
          <w:trHeight w:val="511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Всего по подпрограмме </w:t>
            </w: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5 658,94</w:t>
            </w: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тыс. руб., в т. ч.: 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МБ: 282,94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2018 год – 88,06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2019 год – 48,72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2020 год – 48,72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2021 год – 48,72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2022 год – 48,72 тыс. руб.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ОБ: 4 628,5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2018 год – 925,7 тыс. руб.; 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2019 год – 925,7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2020 год – 925,7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2021 год - 925,7 тыс. руб.;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2022 год - 925,7 тыс. руб.,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ФБ: 747,5 тыс. рублей, из них:</w:t>
            </w:r>
          </w:p>
          <w:p w:rsidR="006307D1" w:rsidRPr="006307D1" w:rsidRDefault="006307D1" w:rsidP="006307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bCs/>
                <w:sz w:val="20"/>
                <w:szCs w:val="20"/>
              </w:rPr>
              <w:t>2018 год – 747,5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2019 год –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2020 год - 0,0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2021 год - 0,0 тыс. руб.;</w:t>
            </w:r>
          </w:p>
          <w:p w:rsidR="006307D1" w:rsidRPr="006307D1" w:rsidRDefault="006307D1" w:rsidP="006307D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bCs/>
              </w:rPr>
              <w:t>2022 год - 0,0 тыс. руб.</w:t>
            </w:r>
          </w:p>
        </w:tc>
      </w:tr>
      <w:tr w:rsidR="006307D1" w:rsidRPr="006307D1" w:rsidTr="006307D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/>
              </w:rPr>
              <w:t>Повышение уровня благоустройства дворовых территорий и территорий общего пользования сельского поселения Алакуртти Кандалакшского района – 100%</w:t>
            </w:r>
          </w:p>
        </w:tc>
      </w:tr>
    </w:tbl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D1" w:rsidRPr="006307D1" w:rsidRDefault="006307D1" w:rsidP="006307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6307D1" w:rsidRPr="006307D1" w:rsidRDefault="006307D1" w:rsidP="006307D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lastRenderedPageBreak/>
        <w:t>Важное место в планировании застройки занимает формирование жилой группы домов, центром которых является дворовая территория, ее состояние и уровень благоустройства в значительной степени определяют психологический климат поселения. Без благоустройства дворовых территорий благоустройство поселения не может носить комплексный характер и эффективно влиять на повышение качества жизни населения.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проблемами являются: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бюджетное финансирование благоустройства дворовых и общественных территорий сельского поселения Алакуртти;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асфальтобетонного покрытия на придомовых и общественных территориях;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большого количества зеленых насаждений.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муниципальных образований необходимо внедрение энергосберегающих технологий.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 на территории сельского поселения Алакуртти расположено 4 общественных территорий и 48 многоквартирных домов (далее – МКД), образующих 13 дворовых территорий. 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мониторинга сферы благоустройства сельского поселения Алакуртти по состоянию на 01.01.2017 доля благоустроенных общественных территорий общего пользования (парки, скверы, набережные и т.д.) от общего количества таких территорий составляет 50 %. По состоянию на 01.01.2017 доля благоустроенных дворовых территорий многоквартирных домов (далее – МКД) от общей площади дворовых территорий МКД составляет 27,08 %. </w:t>
      </w:r>
      <w:proofErr w:type="gramEnd"/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уровень благоустроенности дворовых и общественных территорий значительно увеличен (в 2017 году полностью благоустроены 9 дворовых территории и 2 общественных территории). 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сельского поселения Алакуртти, работа по благоустройству дворовых и общественных территорий пока не приобрела комплексного и постоянного характера.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политики администрации сельского поселения Алакуртти является обеспечение комфортной и безопасной среды проживания населения города. Это может быть </w:t>
      </w:r>
      <w:proofErr w:type="gramStart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</w:t>
      </w:r>
      <w:proofErr w:type="gramEnd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полноценной жизнедеятельности для маломобильных групп населения, семей с детьми.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благоустройства общественных и дворовых территорий показал необходимость системного решения проблемы благоустройства территорий. 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подпрограммы планируется в рамках приоритетного проекта «Формирование современной городской среды», направленного на выстраивание современной </w:t>
      </w:r>
      <w:proofErr w:type="spellStart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на территориях муниципальных образований, доступной всем категориям граждан.</w:t>
      </w:r>
      <w:r w:rsidRPr="006307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реализации приоритетного проекта «Формирование современной городской среды»: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общественное участие;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системный подход;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начинается с дворов;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современные общественные зоны;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ответственность.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реализации Приоритетного проекта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соответствующего муниципального образования, дворовых территорий, с учетом мнения граждан, проживающих в многоквартирном доме, расположенном в данном дворе, а также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307D1" w:rsidRPr="006307D1">
          <w:pgSz w:w="11906" w:h="16838"/>
          <w:pgMar w:top="284" w:right="851" w:bottom="1418" w:left="1418" w:header="709" w:footer="709" w:gutter="0"/>
          <w:cols w:space="720"/>
        </w:sectPr>
      </w:pP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и задачи подпрограммы,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 реализации подпрограммы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6307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1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5381"/>
        <w:gridCol w:w="600"/>
        <w:gridCol w:w="45"/>
        <w:gridCol w:w="15"/>
        <w:gridCol w:w="15"/>
        <w:gridCol w:w="884"/>
        <w:gridCol w:w="850"/>
        <w:gridCol w:w="30"/>
        <w:gridCol w:w="15"/>
        <w:gridCol w:w="15"/>
        <w:gridCol w:w="1287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7"/>
        <w:gridCol w:w="1351"/>
      </w:tblGrid>
      <w:tr w:rsidR="006307D1" w:rsidRPr="006307D1" w:rsidTr="006307D1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Цель, задачи, показатели (индикаторы)</w:t>
            </w:r>
          </w:p>
        </w:tc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613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6307D1" w:rsidRPr="006307D1" w:rsidTr="006307D1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Отчетный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Текущий</w:t>
            </w:r>
          </w:p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6307D1" w:rsidRPr="006307D1" w:rsidTr="006307D1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307D1" w:rsidRPr="006307D1" w:rsidTr="006307D1">
        <w:tc>
          <w:tcPr>
            <w:tcW w:w="1513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благоустройства территорий сельского поселения Алакуртти</w:t>
            </w:r>
          </w:p>
        </w:tc>
      </w:tr>
      <w:tr w:rsidR="006307D1" w:rsidRPr="006307D1" w:rsidTr="006307D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Доля выполненных мероприятий по благоустройству территорий</w:t>
            </w: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6307D1" w:rsidRPr="006307D1" w:rsidTr="006307D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9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1: повышение </w:t>
            </w:r>
            <w:proofErr w:type="gramStart"/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уровня благоустройства общественных территорий города Мурманска</w:t>
            </w:r>
            <w:proofErr w:type="gramEnd"/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307D1" w:rsidRPr="006307D1" w:rsidTr="006307D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6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 xml:space="preserve">100                                                                                     </w:t>
            </w:r>
          </w:p>
        </w:tc>
      </w:tr>
      <w:tr w:rsidR="006307D1" w:rsidRPr="006307D1" w:rsidTr="006307D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9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2: Повышение </w:t>
            </w:r>
            <w:proofErr w:type="gramStart"/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уровня благоустройства дворовых территорий города Мурманска</w:t>
            </w:r>
            <w:proofErr w:type="gramEnd"/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307D1" w:rsidRPr="006307D1" w:rsidTr="006307D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27,08</w:t>
            </w:r>
          </w:p>
        </w:tc>
        <w:tc>
          <w:tcPr>
            <w:tcW w:w="1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307D1" w:rsidRPr="006307D1" w:rsidRDefault="006307D1" w:rsidP="006307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3. Перечень основных мероприятий программы</w:t>
      </w: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0"/>
        <w:gridCol w:w="851"/>
        <w:gridCol w:w="850"/>
        <w:gridCol w:w="1105"/>
        <w:gridCol w:w="993"/>
        <w:gridCol w:w="992"/>
        <w:gridCol w:w="992"/>
        <w:gridCol w:w="30"/>
        <w:gridCol w:w="992"/>
        <w:gridCol w:w="992"/>
        <w:gridCol w:w="1269"/>
        <w:gridCol w:w="625"/>
        <w:gridCol w:w="625"/>
        <w:gridCol w:w="626"/>
        <w:gridCol w:w="625"/>
        <w:gridCol w:w="626"/>
        <w:gridCol w:w="1551"/>
      </w:tblGrid>
      <w:tr w:rsidR="006307D1" w:rsidRPr="006307D1" w:rsidTr="006307D1">
        <w:trPr>
          <w:trHeight w:val="45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-сиро-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участвующих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основных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6307D1" w:rsidRPr="006307D1" w:rsidTr="006307D1">
        <w:trPr>
          <w:trHeight w:val="64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</w:tr>
      <w:tr w:rsidR="006307D1" w:rsidRPr="006307D1" w:rsidTr="006307D1">
        <w:tc>
          <w:tcPr>
            <w:tcW w:w="16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63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общественных территорий сельского поселения Алакуртти</w:t>
            </w:r>
          </w:p>
        </w:tc>
      </w:tr>
      <w:tr w:rsidR="006307D1" w:rsidRPr="006307D1" w:rsidTr="006307D1">
        <w:trPr>
          <w:trHeight w:val="5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2018-2022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1367,85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благоустроенных общественных территорий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общего количества общественных территорий, %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                                                                                  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6307D1" w:rsidRPr="006307D1" w:rsidTr="006307D1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14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-роенных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обществен-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территорий, ед.</w:t>
            </w: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-роенных обществен-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территорий, тыс.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6307D1" w:rsidRPr="006307D1" w:rsidTr="006307D1">
        <w:trPr>
          <w:trHeight w:val="76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субсидии на поддержку государственных программ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215,7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245,0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271,0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349,4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423,3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6307D1" w:rsidRPr="006307D1" w:rsidTr="006307D1">
        <w:trPr>
          <w:trHeight w:val="7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1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1367,85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территорий,%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«Многофункциональный центр Алакуртти»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-роенных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19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«Многофункциональный центр Алакуртти»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5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1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Детализация перечня основных мероприятий подпрограммы на 2018 год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40"/>
        <w:gridCol w:w="1182"/>
        <w:gridCol w:w="876"/>
        <w:gridCol w:w="2257"/>
        <w:gridCol w:w="2363"/>
        <w:gridCol w:w="2959"/>
        <w:gridCol w:w="2074"/>
      </w:tblGrid>
      <w:tr w:rsidR="006307D1" w:rsidRPr="006307D1" w:rsidTr="006307D1">
        <w:trPr>
          <w:trHeight w:val="282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расходов, тыс. руб.</w:t>
            </w:r>
          </w:p>
        </w:tc>
      </w:tr>
      <w:tr w:rsidR="006307D1" w:rsidRPr="006307D1" w:rsidTr="006307D1">
        <w:trPr>
          <w:trHeight w:val="3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</w:tr>
      <w:tr w:rsidR="006307D1" w:rsidRPr="006307D1" w:rsidTr="006307D1">
        <w:trPr>
          <w:trHeight w:val="1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6307D1" w:rsidRPr="006307D1" w:rsidTr="006307D1">
        <w:trPr>
          <w:trHeight w:val="56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D1" w:rsidRPr="006307D1" w:rsidTr="006307D1">
        <w:trPr>
          <w:trHeight w:val="5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333,75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70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спортивной площадки по ул. Нижняя Набережная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333,75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70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333,75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70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Грязнова д. 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70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Набережная д. 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</w:rPr>
      </w:pPr>
      <w:r w:rsidRPr="006307D1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Детализация перечня основных мероприятий подпрограммы на 2019 год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899"/>
        <w:gridCol w:w="1182"/>
        <w:gridCol w:w="961"/>
        <w:gridCol w:w="2234"/>
        <w:gridCol w:w="2374"/>
        <w:gridCol w:w="2943"/>
        <w:gridCol w:w="2028"/>
      </w:tblGrid>
      <w:tr w:rsidR="006307D1" w:rsidRPr="006307D1" w:rsidTr="006307D1">
        <w:trPr>
          <w:trHeight w:val="282"/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Направление расходов, тыс. руб.</w:t>
            </w:r>
          </w:p>
        </w:tc>
      </w:tr>
      <w:tr w:rsidR="006307D1" w:rsidRPr="006307D1" w:rsidTr="006307D1">
        <w:trPr>
          <w:trHeight w:val="3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</w:tr>
      <w:tr w:rsidR="006307D1" w:rsidRPr="006307D1" w:rsidTr="006307D1">
        <w:trPr>
          <w:trHeight w:val="1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6307D1" w:rsidRPr="006307D1" w:rsidTr="006307D1">
        <w:trPr>
          <w:trHeight w:val="56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27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площади проведения общественных мероприятий по ул. Данилова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Кузнецова д. 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07D1" w:rsidRPr="006307D1" w:rsidTr="006307D1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Кузнецова д.. 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</w:rPr>
      </w:pPr>
      <w:r w:rsidRPr="006307D1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Детализация перечня основных мероприятий подпрограммы на 2020 год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911"/>
        <w:gridCol w:w="1182"/>
        <w:gridCol w:w="964"/>
        <w:gridCol w:w="2234"/>
        <w:gridCol w:w="2374"/>
        <w:gridCol w:w="2946"/>
        <w:gridCol w:w="2022"/>
      </w:tblGrid>
      <w:tr w:rsidR="006307D1" w:rsidRPr="006307D1" w:rsidTr="006307D1">
        <w:trPr>
          <w:trHeight w:val="282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Направление расходов, тыс. 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3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</w:tr>
      <w:tr w:rsidR="006307D1" w:rsidRPr="006307D1" w:rsidTr="006307D1">
        <w:trPr>
          <w:trHeight w:val="1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6307D1" w:rsidRPr="006307D1" w:rsidTr="006307D1">
        <w:trPr>
          <w:trHeight w:val="56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D1" w:rsidRPr="006307D1" w:rsidTr="006307D1">
        <w:trPr>
          <w:trHeight w:val="2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2.1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Кузнецова д. 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2.2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Кузнецова д.. 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</w:rPr>
      </w:pPr>
      <w:r w:rsidRPr="006307D1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Детализация перечня основных мероприятий подпрограммы на 2021 год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911"/>
        <w:gridCol w:w="1182"/>
        <w:gridCol w:w="964"/>
        <w:gridCol w:w="2234"/>
        <w:gridCol w:w="2374"/>
        <w:gridCol w:w="2946"/>
        <w:gridCol w:w="2022"/>
      </w:tblGrid>
      <w:tr w:rsidR="006307D1" w:rsidRPr="006307D1" w:rsidTr="006307D1">
        <w:trPr>
          <w:trHeight w:val="282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3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</w:tr>
      <w:tr w:rsidR="006307D1" w:rsidRPr="006307D1" w:rsidTr="006307D1">
        <w:trPr>
          <w:trHeight w:val="1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6307D1" w:rsidRPr="006307D1" w:rsidTr="006307D1">
        <w:trPr>
          <w:trHeight w:val="56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D1" w:rsidRPr="006307D1" w:rsidTr="006307D1">
        <w:trPr>
          <w:trHeight w:val="2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 благоустройство дворовых </w:t>
            </w: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Нижняя Набережная д. 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2.2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Нижняя Набережная д. 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</w:rPr>
      </w:pPr>
      <w:r w:rsidRPr="006307D1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Детализация перечня основных мероприятий подпрограммы на 2022 год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911"/>
        <w:gridCol w:w="1182"/>
        <w:gridCol w:w="964"/>
        <w:gridCol w:w="2234"/>
        <w:gridCol w:w="2374"/>
        <w:gridCol w:w="2946"/>
        <w:gridCol w:w="2022"/>
      </w:tblGrid>
      <w:tr w:rsidR="006307D1" w:rsidRPr="006307D1" w:rsidTr="006307D1">
        <w:trPr>
          <w:trHeight w:val="282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rPr>
          <w:trHeight w:val="3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ВБ</w:t>
            </w:r>
          </w:p>
        </w:tc>
      </w:tr>
      <w:tr w:rsidR="006307D1" w:rsidRPr="006307D1" w:rsidTr="006307D1">
        <w:trPr>
          <w:trHeight w:val="1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6307D1" w:rsidRPr="006307D1" w:rsidTr="006307D1">
        <w:trPr>
          <w:trHeight w:val="56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D1" w:rsidRPr="006307D1" w:rsidTr="006307D1">
        <w:trPr>
          <w:trHeight w:val="2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2.1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Набережная 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07D1" w:rsidRPr="006307D1" w:rsidTr="006307D1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Ул. Нижняя Набережная д. 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307D1" w:rsidRPr="006307D1" w:rsidRDefault="006307D1" w:rsidP="006307D1">
      <w:pPr>
        <w:tabs>
          <w:tab w:val="left" w:pos="6806"/>
        </w:tabs>
        <w:spacing w:after="0" w:line="240" w:lineRule="auto"/>
        <w:rPr>
          <w:rFonts w:ascii="Times New Roman" w:eastAsia="Calibri" w:hAnsi="Times New Roman" w:cs="Times New Roman"/>
        </w:rPr>
      </w:pPr>
      <w:r w:rsidRPr="006307D1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6307D1" w:rsidRPr="006307D1" w:rsidRDefault="006307D1" w:rsidP="006307D1">
      <w:pPr>
        <w:tabs>
          <w:tab w:val="left" w:pos="680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1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446"/>
        <w:gridCol w:w="1332"/>
        <w:gridCol w:w="1332"/>
        <w:gridCol w:w="1333"/>
        <w:gridCol w:w="1332"/>
        <w:gridCol w:w="1333"/>
      </w:tblGrid>
      <w:tr w:rsidR="006307D1" w:rsidRPr="006307D1" w:rsidTr="006307D1"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 по годам реализации, тыс. руб.</w:t>
            </w:r>
          </w:p>
        </w:tc>
      </w:tr>
      <w:tr w:rsidR="006307D1" w:rsidRPr="006307D1" w:rsidTr="006307D1"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307D1" w:rsidRPr="006307D1" w:rsidTr="006307D1">
        <w:trPr>
          <w:trHeight w:val="23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5658,94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1761,26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 бюджета муниципального образования сельское поселение Алакуртти Кандалакшского района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D1" w:rsidRPr="006307D1" w:rsidRDefault="006307D1" w:rsidP="00630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«Многофункциональный центр Алакуртти», в </w:t>
            </w:r>
            <w:proofErr w:type="spellStart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5658,94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1761,26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974,42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 бюджета муниципального образования сельское поселение Алакуртти Кандалакшского района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48,72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средств областного бюджета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D1" w:rsidRPr="006307D1" w:rsidTr="006307D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D1" w:rsidRPr="006307D1" w:rsidRDefault="006307D1" w:rsidP="006307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D1" w:rsidRPr="006307D1" w:rsidRDefault="006307D1" w:rsidP="00630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307D1" w:rsidRPr="006307D1" w:rsidRDefault="006307D1" w:rsidP="006307D1">
      <w:pPr>
        <w:tabs>
          <w:tab w:val="left" w:pos="33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307D1" w:rsidRPr="006307D1"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lastRenderedPageBreak/>
        <w:t>5. Механизм реализации подпрограммы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Заказчиком-координатором подпрограммы является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Алакуртти Кандалакшского района.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Заказчиком и главным распорядителем бюджетных средств подпрограммы является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«Многофункциональный центр Алакуртти»</w:t>
      </w: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 мероприятий: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«Многофункциональный центр Алакуртти»</w:t>
      </w: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</w:t>
      </w:r>
      <w:proofErr w:type="gramEnd"/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иными действующими нормативно-правовыми актами Российской Федерации.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Подпрограммой предусмотрено проведение мероприятий по благоустройству территории муниципального образования, в том числе общественных и дворовых территорий, в рамках приоритетного проекта «Формирование комфортной городской среды».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года, а также перечень индивидуальных жилых домов и земельных участков  включается в подпрограмму в соответствии с заключенными соглашениями с администрацией сельского поселения </w:t>
      </w:r>
      <w:proofErr w:type="gramStart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Алакуртти</w:t>
      </w:r>
      <w:proofErr w:type="gramEnd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по результатам инвентаризации проведенной в соответствии с Порядком (приложение № 3),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данных объектов недвижимого имущества, индивидуальных жилых домов и земельных участков выполняются за счет средств указанных лиц.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Адресный перечень основных мероприятий сформирован в соответствии с 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приоритетного проекта «Формирование комфортной городской среды» на 2018-2022 годы», исходя из </w:t>
      </w: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предложений от заинтересованных лиц о включении в </w:t>
      </w: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Программу дворовых территорий, а также 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инвентаризации, проведенной в соответствии с Порядком (приложение № 3),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включены в подпрограмму исходя из минимального и дополнительного перечня работ,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24.04.2017 № 131 «О предельной стоимости работ по благоустройству дворовой территории, входящей в состав минимального перечня работ, и укрупненных нормативов цены конструктивных решений по благоустройству дворовых территорий, входящих в</w:t>
      </w:r>
      <w:proofErr w:type="gramEnd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дополнительного перечня работ».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подпрограммой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благоустройству.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(или) спортивных площадок, автомобильных парковок, озеленение территорий, иные виды работ. 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финансовом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участии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 (например, уборка территории, озеленение территории, окрашивание элементов благоустройства и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работ по благоустройству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 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Мурманской области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таком участии)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рудовое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 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Pr="0063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Мурманской области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таком участии)</w:t>
      </w:r>
      <w:r w:rsidRPr="006307D1">
        <w:rPr>
          <w:rFonts w:ascii="Times New Roman" w:eastAsia="Calibri" w:hAnsi="Times New Roman" w:cs="Times New Roman"/>
          <w:sz w:val="28"/>
          <w:szCs w:val="28"/>
        </w:rPr>
        <w:t xml:space="preserve">. Средства аккумулируются и расходуются согласно Порядку, утвержденному постановлением администрации города Мурманска от 15.03.2017 № 630 «Об утверждении Порядка аккумулирования и расходования средств заинтересованных лиц, на выполнение минимального и дополнительного перечня работ по благоустройству дворовых территорий и механизм </w:t>
      </w:r>
      <w:proofErr w:type="gramStart"/>
      <w:r w:rsidRPr="006307D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07D1">
        <w:rPr>
          <w:rFonts w:ascii="Times New Roman" w:eastAsia="Calibri" w:hAnsi="Times New Roman" w:cs="Times New Roman"/>
          <w:sz w:val="28"/>
          <w:szCs w:val="28"/>
        </w:rPr>
        <w:t xml:space="preserve"> их использованием».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программы, рисков ее реализации.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мероприятий подпрограммы осуществляется в соответствии с постановлением администрации сельского поселения Алакуртти от 14.10.2013 № 91 «Об утверждении Порядка разработки, реализации и оценки эффективности муниципальных программ сельского поселения Алакуртти».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позволит: 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повышение комфортности проживания граждан;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эстетическое состояние дворовых территорий и территорий общего пользования города Мурманска;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-довести техническое и эксплуатационное состояние дворовых территорий и проездов к ним, а также территорий общего пользования города Мурманска до нормативных требований;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мероприятий подпрограммы планируется выполнить:</w:t>
      </w:r>
    </w:p>
    <w:p w:rsidR="006307D1" w:rsidRPr="006307D1" w:rsidRDefault="006307D1" w:rsidP="0063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10 дворовых территорий;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мест общего пользования в количестве 2 шт.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реализации подпрограммы возникают определенные внешние и внутренние риски: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Операционные риски, связанные с ошибками управления реализацией подпрограммы, в том числе с ошибками отдельных ее исполнителей,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группы рисков можно выделить два основных.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ответственного исполнителя и соисполнителей, что может привести к нецелевому и/или неэффективному использованию бюджетных средств, невыполнению ряда мероприятий подпрограммы. Данный риск обусловлен большим количеством участников реализации </w:t>
      </w: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мероприятий Программы – органов местного самоуправления Мурманской области.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подпрограммы.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Риск финансового обеспечения, который связан с финансированием подпрограммы в неполном объеме. Однако, учитывая приоритетное направление мероприятий по формированию комфортной городской среды, предусмотренных подпрограммой, риск сбоев в реализации подпрограммы по причине недофинансирования можно считать умеренным.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3.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</w:t>
      </w:r>
      <w:proofErr w:type="gramEnd"/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Программы.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такой риск для реализации подпрограммы может быть качественно оценен как высокий.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консолидированного бюджета Мурманской области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Мероприятия по предупреждению рисков: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соответствующих изменений в нормативные правовые акты, касающиеся реализации мероприятий подпрограммы;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оперативный мониторинг реализации подпрограммы;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освещение механизмов реализации мероприятий подпрограммы и итогов реализации подпрограммы в средствах массовой информации, </w:t>
      </w:r>
      <w:r w:rsidRPr="006307D1">
        <w:rPr>
          <w:rFonts w:ascii="Times New Roman" w:eastAsia="Calibri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 </w:t>
      </w:r>
      <w:r w:rsidRPr="006307D1">
        <w:rPr>
          <w:rFonts w:ascii="Times New Roman" w:eastAsia="Calibri" w:hAnsi="Times New Roman" w:cs="Times New Roman"/>
          <w:sz w:val="28"/>
          <w:szCs w:val="28"/>
        </w:rPr>
        <w:lastRenderedPageBreak/>
        <w:t>в целях стимулирования активности граждан и бизнеса в инициации проектов по благоустройству.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подпрограммы основываются на следующих обстоятельствах: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Наибольшее отрицательное влияние из вышеперечисленных рисков на реализацию подпрограммы может оказать риск ухудшения состояния экономики, который содержит угрозу срыва реализации подпрограммы.</w:t>
      </w:r>
    </w:p>
    <w:p w:rsidR="006307D1" w:rsidRPr="006307D1" w:rsidRDefault="006307D1" w:rsidP="0063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7D1">
        <w:rPr>
          <w:rFonts w:ascii="Times New Roman" w:eastAsia="Calibri" w:hAnsi="Times New Roman" w:cs="Times New Roman"/>
          <w:sz w:val="28"/>
          <w:szCs w:val="28"/>
        </w:rPr>
        <w:t>к подпрограмме</w:t>
      </w:r>
    </w:p>
    <w:p w:rsidR="006307D1" w:rsidRPr="006307D1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Визуализация перечня образцов элементов благоустройства, предлагаемых к размещению на дворовой территории в соответствии с минимальным перечнем видов работ.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1.Опоры освещения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6307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Предназначены для освещения площадей, парковок, логистических складов и пр.</w:t>
      </w:r>
      <w:proofErr w:type="gramEnd"/>
      <w:r w:rsidRPr="006307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Опоры изготавливаются из листовой стали методом гибки с одним продольным сварным швом, защищены от коррозии методом горячего </w:t>
      </w:r>
      <w:proofErr w:type="spellStart"/>
      <w:r w:rsidRPr="006307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цинкования</w:t>
      </w:r>
      <w:proofErr w:type="spellEnd"/>
      <w:r w:rsidRPr="006307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(ГОСТ 9.307-89). Данный вид покрытия не является декоративным и носит сугубо функциональный характер. </w:t>
      </w:r>
    </w:p>
    <w:p w:rsidR="006307D1" w:rsidRPr="006307D1" w:rsidRDefault="006307D1" w:rsidP="0063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Гарантия на коррозийную стойкость – не менее 15 лет.</w:t>
      </w:r>
      <w:r w:rsidRPr="006307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6625B" wp14:editId="5EE803CA">
            <wp:extent cx="2878455" cy="5955665"/>
            <wp:effectExtent l="0" t="0" r="0" b="6985"/>
            <wp:docPr id="1" name="Рисунок 1" descr="ogkch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gkcher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64835" wp14:editId="6E6CDB57">
            <wp:extent cx="2878455" cy="6035040"/>
            <wp:effectExtent l="0" t="0" r="0" b="3810"/>
            <wp:docPr id="2" name="Рисунок 2" descr="o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g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Урны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размещения на улицах.</w:t>
      </w:r>
      <w:proofErr w:type="gramEnd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Переносные</w:t>
      </w:r>
      <w:proofErr w:type="gramEnd"/>
      <w:r w:rsidRPr="006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могут крепиться к земле и быть стационарными. Урны изготавливаются из оцинкованного металла с порошковой окраской.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BA1916" wp14:editId="03612C00">
            <wp:extent cx="4683125" cy="4413250"/>
            <wp:effectExtent l="0" t="0" r="3175" b="6350"/>
            <wp:docPr id="3" name="Рисунок 1" descr="6a662de1f3ff124ccabd89cddafe7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a662de1f3ff124ccabd89cddafe70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Скамейки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30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Предназначены для благоустройства жилых дворов, городской улицы или парков.</w:t>
      </w:r>
      <w:proofErr w:type="gramEnd"/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Скамейка уличная 8005 (1500×350×400 мм)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999E56" wp14:editId="3D5C197E">
            <wp:extent cx="3848735" cy="2456815"/>
            <wp:effectExtent l="0" t="0" r="0" b="635"/>
            <wp:docPr id="4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Скамейка УМЗ уличная со спинкой (450 х 1300 х 500 мм)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30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Исполнение скамейки – труба квадратная с деревянным брусом. Основание скамейки покрыто атмосфероустойчивой порошковой краской. Деревянные бруски покрыты лаком.</w:t>
      </w:r>
    </w:p>
    <w:p w:rsidR="006307D1" w:rsidRPr="006307D1" w:rsidRDefault="006307D1" w:rsidP="00630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5EB69C" wp14:editId="4F90676C">
            <wp:extent cx="3673475" cy="3204210"/>
            <wp:effectExtent l="0" t="0" r="3175" b="0"/>
            <wp:docPr id="5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D1" w:rsidRPr="006307D1" w:rsidRDefault="006307D1" w:rsidP="0063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E9" w:rsidRDefault="00455EE9"/>
    <w:sectPr w:rsidR="004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389D"/>
    <w:multiLevelType w:val="hybridMultilevel"/>
    <w:tmpl w:val="A052E396"/>
    <w:lvl w:ilvl="0" w:tplc="A97A2A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FE"/>
    <w:rsid w:val="00455EE9"/>
    <w:rsid w:val="006307D1"/>
    <w:rsid w:val="009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7D1"/>
  </w:style>
  <w:style w:type="character" w:styleId="a3">
    <w:name w:val="Hyperlink"/>
    <w:basedOn w:val="a0"/>
    <w:uiPriority w:val="99"/>
    <w:semiHidden/>
    <w:unhideWhenUsed/>
    <w:rsid w:val="006307D1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307D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307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307D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6307D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7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uiPriority w:val="99"/>
    <w:semiHidden/>
    <w:rsid w:val="006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30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30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30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3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30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307D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7D1"/>
  </w:style>
  <w:style w:type="character" w:styleId="a3">
    <w:name w:val="Hyperlink"/>
    <w:basedOn w:val="a0"/>
    <w:uiPriority w:val="99"/>
    <w:semiHidden/>
    <w:unhideWhenUsed/>
    <w:rsid w:val="006307D1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307D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307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307D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6307D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7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uiPriority w:val="99"/>
    <w:semiHidden/>
    <w:rsid w:val="006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30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30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30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3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30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307D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4702</Words>
  <Characters>26806</Characters>
  <Application>Microsoft Office Word</Application>
  <DocSecurity>0</DocSecurity>
  <Lines>223</Lines>
  <Paragraphs>62</Paragraphs>
  <ScaleCrop>false</ScaleCrop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2017-12-08T07:06:00Z</dcterms:created>
  <dcterms:modified xsi:type="dcterms:W3CDTF">2017-12-08T07:09:00Z</dcterms:modified>
</cp:coreProperties>
</file>