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A1" w:rsidRDefault="002D36A1" w:rsidP="002D36A1">
      <w:pPr>
        <w:jc w:val="center"/>
        <w:rPr>
          <w:b/>
          <w:color w:val="000000"/>
        </w:rPr>
      </w:pPr>
      <w:r>
        <w:rPr>
          <w:b/>
          <w:noProof/>
          <w:lang w:eastAsia="ru-RU"/>
        </w:rPr>
        <w:drawing>
          <wp:inline distT="0" distB="0" distL="0" distR="0" wp14:anchorId="6D4C44B3" wp14:editId="21F485F5">
            <wp:extent cx="1017905" cy="1017905"/>
            <wp:effectExtent l="0" t="0" r="0" b="0"/>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p>
    <w:p w:rsidR="002D36A1" w:rsidRDefault="002D36A1" w:rsidP="002D36A1">
      <w:pPr>
        <w:jc w:val="center"/>
        <w:rPr>
          <w:b/>
          <w:color w:val="000000"/>
        </w:rPr>
      </w:pPr>
    </w:p>
    <w:p w:rsidR="002D36A1" w:rsidRPr="00515547" w:rsidRDefault="002D36A1" w:rsidP="002D36A1">
      <w:pPr>
        <w:jc w:val="center"/>
        <w:rPr>
          <w:rFonts w:ascii="Arial" w:hAnsi="Arial" w:cs="Arial"/>
          <w:b/>
          <w:color w:val="000000"/>
        </w:rPr>
      </w:pPr>
      <w:r w:rsidRPr="00515547">
        <w:rPr>
          <w:rFonts w:ascii="Arial" w:hAnsi="Arial" w:cs="Arial"/>
          <w:b/>
          <w:color w:val="000000"/>
        </w:rPr>
        <w:t>СОВЕТ ДЕПУТАТОВ</w:t>
      </w:r>
    </w:p>
    <w:p w:rsidR="002D36A1" w:rsidRPr="00515547" w:rsidRDefault="002D36A1" w:rsidP="002D36A1">
      <w:pPr>
        <w:jc w:val="center"/>
        <w:rPr>
          <w:rFonts w:ascii="Arial" w:hAnsi="Arial" w:cs="Arial"/>
          <w:b/>
          <w:color w:val="000000"/>
        </w:rPr>
      </w:pPr>
      <w:r w:rsidRPr="00515547">
        <w:rPr>
          <w:rFonts w:ascii="Arial" w:hAnsi="Arial" w:cs="Arial"/>
          <w:b/>
          <w:color w:val="000000"/>
        </w:rPr>
        <w:t>СЕЛЬСКОГО ПОСЕЛЕНИЯ АЛАКУРТТИ</w:t>
      </w:r>
    </w:p>
    <w:p w:rsidR="002D36A1" w:rsidRPr="00515547" w:rsidRDefault="002D36A1" w:rsidP="002D36A1">
      <w:pPr>
        <w:jc w:val="center"/>
        <w:rPr>
          <w:rFonts w:ascii="Arial" w:hAnsi="Arial" w:cs="Arial"/>
          <w:b/>
          <w:color w:val="000000"/>
        </w:rPr>
      </w:pPr>
      <w:r w:rsidRPr="00515547">
        <w:rPr>
          <w:rFonts w:ascii="Arial" w:hAnsi="Arial" w:cs="Arial"/>
          <w:b/>
          <w:color w:val="000000"/>
        </w:rPr>
        <w:t xml:space="preserve">КАНДАЛАКШСКОГО РАЙОНА  </w:t>
      </w:r>
    </w:p>
    <w:p w:rsidR="002D36A1" w:rsidRPr="00515547" w:rsidRDefault="00513121" w:rsidP="002D36A1">
      <w:pPr>
        <w:jc w:val="center"/>
        <w:rPr>
          <w:rFonts w:ascii="Arial" w:hAnsi="Arial" w:cs="Arial"/>
          <w:color w:val="000000"/>
        </w:rPr>
      </w:pPr>
      <w:r w:rsidRPr="00515547">
        <w:rPr>
          <w:rFonts w:ascii="Arial" w:hAnsi="Arial" w:cs="Arial"/>
          <w:b/>
          <w:color w:val="000000"/>
        </w:rPr>
        <w:t>ЧЕТВЕРТОГО</w:t>
      </w:r>
      <w:r w:rsidR="002D36A1" w:rsidRPr="00515547">
        <w:rPr>
          <w:rFonts w:ascii="Arial" w:hAnsi="Arial" w:cs="Arial"/>
          <w:b/>
          <w:color w:val="000000"/>
        </w:rPr>
        <w:t xml:space="preserve"> СОЗЫВА</w:t>
      </w:r>
    </w:p>
    <w:p w:rsidR="002D36A1" w:rsidRPr="00515547" w:rsidRDefault="002D36A1" w:rsidP="002D36A1">
      <w:pPr>
        <w:jc w:val="center"/>
        <w:rPr>
          <w:rFonts w:ascii="Arial" w:hAnsi="Arial" w:cs="Arial"/>
          <w:b/>
          <w:color w:val="000000"/>
        </w:rPr>
      </w:pPr>
    </w:p>
    <w:p w:rsidR="002D36A1" w:rsidRPr="00515547" w:rsidRDefault="002D36A1" w:rsidP="002D36A1">
      <w:pPr>
        <w:jc w:val="center"/>
        <w:rPr>
          <w:rFonts w:ascii="Arial" w:hAnsi="Arial" w:cs="Arial"/>
          <w:b/>
          <w:color w:val="000000"/>
        </w:rPr>
      </w:pPr>
      <w:r w:rsidRPr="00515547">
        <w:rPr>
          <w:rFonts w:ascii="Arial" w:hAnsi="Arial" w:cs="Arial"/>
          <w:b/>
          <w:color w:val="000000"/>
        </w:rPr>
        <w:t>РЕШЕНИЕ</w:t>
      </w:r>
    </w:p>
    <w:p w:rsidR="002D36A1" w:rsidRPr="00515547" w:rsidRDefault="002D36A1" w:rsidP="002D36A1">
      <w:pPr>
        <w:jc w:val="center"/>
        <w:rPr>
          <w:rFonts w:ascii="Arial" w:hAnsi="Arial" w:cs="Arial"/>
          <w:b/>
          <w:color w:val="000000"/>
        </w:rPr>
      </w:pPr>
    </w:p>
    <w:p w:rsidR="002D36A1" w:rsidRPr="00515547" w:rsidRDefault="002D36A1" w:rsidP="002D36A1">
      <w:pPr>
        <w:rPr>
          <w:rFonts w:ascii="Arial" w:hAnsi="Arial" w:cs="Arial"/>
        </w:rPr>
      </w:pPr>
      <w:r w:rsidRPr="00515547">
        <w:rPr>
          <w:rFonts w:ascii="Arial" w:hAnsi="Arial" w:cs="Arial"/>
        </w:rPr>
        <w:t>от «</w:t>
      </w:r>
      <w:r w:rsidR="00513121" w:rsidRPr="00515547">
        <w:rPr>
          <w:rFonts w:ascii="Arial" w:hAnsi="Arial" w:cs="Arial"/>
        </w:rPr>
        <w:t>0</w:t>
      </w:r>
      <w:r w:rsidR="00D56458">
        <w:rPr>
          <w:rFonts w:ascii="Arial" w:hAnsi="Arial" w:cs="Arial"/>
        </w:rPr>
        <w:t>1</w:t>
      </w:r>
      <w:r w:rsidRPr="00515547">
        <w:rPr>
          <w:rFonts w:ascii="Arial" w:hAnsi="Arial" w:cs="Arial"/>
        </w:rPr>
        <w:t xml:space="preserve">» </w:t>
      </w:r>
      <w:r w:rsidR="00513121" w:rsidRPr="00515547">
        <w:rPr>
          <w:rFonts w:ascii="Arial" w:hAnsi="Arial" w:cs="Arial"/>
        </w:rPr>
        <w:t>октября</w:t>
      </w:r>
      <w:r w:rsidRPr="00515547">
        <w:rPr>
          <w:rFonts w:ascii="Arial" w:hAnsi="Arial" w:cs="Arial"/>
        </w:rPr>
        <w:t xml:space="preserve"> 201</w:t>
      </w:r>
      <w:r w:rsidR="00AC7FE9" w:rsidRPr="00515547">
        <w:rPr>
          <w:rFonts w:ascii="Arial" w:hAnsi="Arial" w:cs="Arial"/>
        </w:rPr>
        <w:t>9</w:t>
      </w:r>
      <w:r w:rsidR="00515547">
        <w:rPr>
          <w:rFonts w:ascii="Arial" w:hAnsi="Arial" w:cs="Arial"/>
        </w:rPr>
        <w:t xml:space="preserve"> года          </w:t>
      </w:r>
      <w:r w:rsidRPr="00515547">
        <w:rPr>
          <w:rFonts w:ascii="Arial" w:hAnsi="Arial" w:cs="Arial"/>
        </w:rPr>
        <w:t xml:space="preserve">                                        </w:t>
      </w:r>
      <w:r w:rsidR="00D56458">
        <w:rPr>
          <w:rFonts w:ascii="Arial" w:hAnsi="Arial" w:cs="Arial"/>
        </w:rPr>
        <w:t xml:space="preserve">                            </w:t>
      </w:r>
      <w:r w:rsidRPr="00515547">
        <w:rPr>
          <w:rFonts w:ascii="Arial" w:hAnsi="Arial" w:cs="Arial"/>
        </w:rPr>
        <w:t xml:space="preserve">      № </w:t>
      </w:r>
      <w:r w:rsidR="00D56458">
        <w:rPr>
          <w:rFonts w:ascii="Arial" w:hAnsi="Arial" w:cs="Arial"/>
        </w:rPr>
        <w:t>554</w:t>
      </w:r>
    </w:p>
    <w:p w:rsidR="002D36A1" w:rsidRPr="00515547" w:rsidRDefault="002D36A1" w:rsidP="002D36A1">
      <w:pPr>
        <w:jc w:val="both"/>
        <w:rPr>
          <w:rFonts w:ascii="Arial" w:hAnsi="Arial" w:cs="Arial"/>
        </w:rPr>
      </w:pPr>
    </w:p>
    <w:p w:rsidR="002D36A1" w:rsidRPr="00515547" w:rsidRDefault="002D36A1" w:rsidP="002D36A1">
      <w:pPr>
        <w:pStyle w:val="21"/>
        <w:rPr>
          <w:rFonts w:ascii="Arial" w:hAnsi="Arial" w:cs="Arial"/>
          <w:b/>
        </w:rPr>
      </w:pPr>
      <w:r w:rsidRPr="00515547">
        <w:rPr>
          <w:rFonts w:ascii="Arial" w:hAnsi="Arial" w:cs="Arial"/>
          <w:b/>
        </w:rPr>
        <w:t>Об утверждение прогнозного плана приватизации имущества сельского поселения Алакуртти Кандалакшский район на 201</w:t>
      </w:r>
      <w:r w:rsidR="00513121" w:rsidRPr="00515547">
        <w:rPr>
          <w:rFonts w:ascii="Arial" w:hAnsi="Arial" w:cs="Arial"/>
          <w:b/>
        </w:rPr>
        <w:t>9</w:t>
      </w:r>
      <w:r w:rsidRPr="00515547">
        <w:rPr>
          <w:rFonts w:ascii="Arial" w:hAnsi="Arial" w:cs="Arial"/>
          <w:b/>
        </w:rPr>
        <w:t xml:space="preserve"> год и плановый период 20</w:t>
      </w:r>
      <w:r w:rsidR="00513121" w:rsidRPr="00515547">
        <w:rPr>
          <w:rFonts w:ascii="Arial" w:hAnsi="Arial" w:cs="Arial"/>
          <w:b/>
        </w:rPr>
        <w:t>20</w:t>
      </w:r>
      <w:r w:rsidRPr="00515547">
        <w:rPr>
          <w:rFonts w:ascii="Arial" w:hAnsi="Arial" w:cs="Arial"/>
          <w:b/>
        </w:rPr>
        <w:t>-202</w:t>
      </w:r>
      <w:r w:rsidR="00513121" w:rsidRPr="00515547">
        <w:rPr>
          <w:rFonts w:ascii="Arial" w:hAnsi="Arial" w:cs="Arial"/>
          <w:b/>
        </w:rPr>
        <w:t>1</w:t>
      </w:r>
      <w:r w:rsidRPr="00515547">
        <w:rPr>
          <w:rFonts w:ascii="Arial" w:hAnsi="Arial" w:cs="Arial"/>
          <w:b/>
        </w:rPr>
        <w:t xml:space="preserve"> гг.»</w:t>
      </w:r>
    </w:p>
    <w:p w:rsidR="002D36A1" w:rsidRPr="00515547" w:rsidRDefault="002D36A1" w:rsidP="002D36A1">
      <w:pPr>
        <w:pStyle w:val="21"/>
        <w:jc w:val="left"/>
        <w:rPr>
          <w:rFonts w:ascii="Arial" w:hAnsi="Arial" w:cs="Arial"/>
          <w:b/>
        </w:rPr>
      </w:pPr>
    </w:p>
    <w:p w:rsidR="002D36A1" w:rsidRPr="00515547" w:rsidRDefault="002D36A1" w:rsidP="002D36A1">
      <w:pPr>
        <w:widowControl/>
        <w:suppressAutoHyphens w:val="0"/>
        <w:overflowPunct w:val="0"/>
        <w:autoSpaceDE w:val="0"/>
        <w:autoSpaceDN w:val="0"/>
        <w:adjustRightInd w:val="0"/>
        <w:ind w:firstLine="720"/>
        <w:jc w:val="both"/>
        <w:rPr>
          <w:rFonts w:ascii="Arial" w:eastAsia="Times New Roman" w:hAnsi="Arial" w:cs="Arial"/>
          <w:lang w:eastAsia="ru-RU"/>
        </w:rPr>
      </w:pPr>
      <w:r w:rsidRPr="00515547">
        <w:rPr>
          <w:rFonts w:ascii="Arial" w:eastAsia="Times New Roman" w:hAnsi="Arial" w:cs="Arial"/>
          <w:lang w:eastAsia="ru-RU"/>
        </w:rPr>
        <w:t>В соответствии с Федеральным законом от 21.12.2001 № 178-ФЗ «О приватизации государственного и муниципального имущества» (с последующими изменениями и дополнениями), Положением о порядке и условиях приватизации муниципального имущества сельского поселения Алакуртти Кандалакшского района и Уставом сельского поселения Алакуртти Кандалакшского района,</w:t>
      </w:r>
    </w:p>
    <w:p w:rsidR="002D36A1" w:rsidRPr="00515547" w:rsidRDefault="002D36A1" w:rsidP="002D36A1">
      <w:pPr>
        <w:pStyle w:val="21"/>
        <w:ind w:firstLine="0"/>
        <w:jc w:val="both"/>
        <w:rPr>
          <w:rFonts w:ascii="Arial" w:hAnsi="Arial" w:cs="Arial"/>
        </w:rPr>
      </w:pPr>
    </w:p>
    <w:p w:rsidR="002D36A1" w:rsidRPr="00515547" w:rsidRDefault="002D36A1" w:rsidP="002D36A1">
      <w:pPr>
        <w:jc w:val="center"/>
        <w:rPr>
          <w:rFonts w:ascii="Arial" w:hAnsi="Arial" w:cs="Arial"/>
        </w:rPr>
      </w:pPr>
      <w:r w:rsidRPr="00515547">
        <w:rPr>
          <w:rFonts w:ascii="Arial" w:hAnsi="Arial" w:cs="Arial"/>
        </w:rPr>
        <w:t>на основании открытого голосования</w:t>
      </w:r>
    </w:p>
    <w:p w:rsidR="002D36A1" w:rsidRPr="00515547" w:rsidRDefault="002D36A1" w:rsidP="002D36A1">
      <w:pPr>
        <w:jc w:val="center"/>
        <w:rPr>
          <w:rFonts w:ascii="Arial" w:hAnsi="Arial" w:cs="Arial"/>
        </w:rPr>
      </w:pPr>
      <w:r w:rsidRPr="00515547">
        <w:rPr>
          <w:rFonts w:ascii="Arial" w:hAnsi="Arial" w:cs="Arial"/>
        </w:rPr>
        <w:t xml:space="preserve">Совет депутатов сельского поселения Алакуртти </w:t>
      </w:r>
    </w:p>
    <w:p w:rsidR="002D36A1" w:rsidRPr="00515547" w:rsidRDefault="002D36A1" w:rsidP="002D36A1">
      <w:pPr>
        <w:jc w:val="center"/>
        <w:rPr>
          <w:rFonts w:ascii="Arial" w:hAnsi="Arial" w:cs="Arial"/>
        </w:rPr>
      </w:pPr>
      <w:r w:rsidRPr="00515547">
        <w:rPr>
          <w:rFonts w:ascii="Arial" w:hAnsi="Arial" w:cs="Arial"/>
        </w:rPr>
        <w:t xml:space="preserve">Кандалакшского района </w:t>
      </w:r>
    </w:p>
    <w:p w:rsidR="002D36A1" w:rsidRPr="00515547" w:rsidRDefault="002D36A1" w:rsidP="002D36A1">
      <w:pPr>
        <w:jc w:val="center"/>
        <w:rPr>
          <w:rFonts w:ascii="Arial" w:hAnsi="Arial" w:cs="Arial"/>
        </w:rPr>
      </w:pPr>
    </w:p>
    <w:p w:rsidR="002D36A1" w:rsidRPr="00515547" w:rsidRDefault="002D36A1" w:rsidP="002D36A1">
      <w:pPr>
        <w:jc w:val="center"/>
        <w:rPr>
          <w:rFonts w:ascii="Arial" w:hAnsi="Arial" w:cs="Arial"/>
          <w:b/>
        </w:rPr>
      </w:pPr>
      <w:r w:rsidRPr="00515547">
        <w:rPr>
          <w:rFonts w:ascii="Arial" w:hAnsi="Arial" w:cs="Arial"/>
        </w:rPr>
        <w:t xml:space="preserve"> </w:t>
      </w:r>
      <w:r w:rsidRPr="00515547">
        <w:rPr>
          <w:rFonts w:ascii="Arial" w:hAnsi="Arial" w:cs="Arial"/>
          <w:b/>
        </w:rPr>
        <w:t>РЕШИЛ:</w:t>
      </w:r>
    </w:p>
    <w:p w:rsidR="00513121" w:rsidRPr="00515547" w:rsidRDefault="00513121" w:rsidP="002D36A1">
      <w:pPr>
        <w:jc w:val="center"/>
        <w:rPr>
          <w:rFonts w:ascii="Arial" w:hAnsi="Arial" w:cs="Arial"/>
          <w:b/>
        </w:rPr>
      </w:pPr>
    </w:p>
    <w:p w:rsidR="002D36A1" w:rsidRPr="00515547" w:rsidRDefault="002D36A1" w:rsidP="00513121">
      <w:pPr>
        <w:pStyle w:val="21"/>
        <w:ind w:firstLine="709"/>
        <w:jc w:val="both"/>
        <w:rPr>
          <w:rFonts w:ascii="Arial" w:eastAsia="Times New Roman" w:hAnsi="Arial" w:cs="Arial"/>
          <w:lang w:eastAsia="ru-RU"/>
        </w:rPr>
      </w:pPr>
      <w:r w:rsidRPr="00515547">
        <w:rPr>
          <w:rFonts w:ascii="Arial" w:hAnsi="Arial" w:cs="Arial"/>
        </w:rPr>
        <w:t xml:space="preserve">1. </w:t>
      </w:r>
      <w:r w:rsidRPr="00515547">
        <w:rPr>
          <w:rFonts w:ascii="Arial" w:eastAsia="Times New Roman" w:hAnsi="Arial" w:cs="Arial"/>
          <w:lang w:eastAsia="ru-RU"/>
        </w:rPr>
        <w:t xml:space="preserve">Утвердить прогнозный план приватизации имущества сельского поселения Алакуртти Кандалакшского района на 2019 год и плановый период 2020 - 2021 г. </w:t>
      </w:r>
      <w:r w:rsidR="00513121" w:rsidRPr="00515547">
        <w:rPr>
          <w:rFonts w:ascii="Arial" w:eastAsia="Times New Roman" w:hAnsi="Arial" w:cs="Arial"/>
          <w:lang w:eastAsia="ru-RU"/>
        </w:rPr>
        <w:t>(приложение №1).</w:t>
      </w:r>
    </w:p>
    <w:p w:rsidR="002D36A1" w:rsidRPr="00515547" w:rsidRDefault="002D36A1" w:rsidP="002D36A1">
      <w:pPr>
        <w:ind w:firstLine="709"/>
        <w:jc w:val="both"/>
        <w:rPr>
          <w:rFonts w:ascii="Arial" w:hAnsi="Arial" w:cs="Arial"/>
        </w:rPr>
      </w:pPr>
      <w:r w:rsidRPr="00515547">
        <w:rPr>
          <w:rFonts w:ascii="Arial" w:hAnsi="Arial" w:cs="Arial"/>
        </w:rPr>
        <w:t>2. Опубликовать настоящее решение в информационном бюллетене «Алакуртти – наша земля» и на официальном сайте администрации сельского поселения Алакуртти Кандалакшского района.</w:t>
      </w:r>
    </w:p>
    <w:p w:rsidR="002D36A1" w:rsidRPr="00515547" w:rsidRDefault="002D36A1" w:rsidP="002D36A1">
      <w:pPr>
        <w:ind w:firstLine="709"/>
        <w:jc w:val="both"/>
        <w:rPr>
          <w:rFonts w:ascii="Arial" w:hAnsi="Arial" w:cs="Arial"/>
        </w:rPr>
      </w:pPr>
      <w:r w:rsidRPr="00515547">
        <w:rPr>
          <w:rFonts w:ascii="Arial" w:hAnsi="Arial" w:cs="Arial"/>
        </w:rPr>
        <w:t>3. Настоящее решение вступает в силу с момента опубликования.</w:t>
      </w:r>
    </w:p>
    <w:p w:rsidR="002D36A1" w:rsidRPr="00515547" w:rsidRDefault="002D36A1" w:rsidP="002D36A1">
      <w:pPr>
        <w:rPr>
          <w:rFonts w:ascii="Arial" w:hAnsi="Arial" w:cs="Arial"/>
        </w:rPr>
      </w:pPr>
    </w:p>
    <w:p w:rsidR="002D36A1" w:rsidRPr="00515547" w:rsidRDefault="002D36A1" w:rsidP="002D36A1">
      <w:pPr>
        <w:rPr>
          <w:rFonts w:ascii="Arial" w:hAnsi="Arial" w:cs="Arial"/>
        </w:rPr>
      </w:pPr>
    </w:p>
    <w:p w:rsidR="002D36A1" w:rsidRPr="00515547" w:rsidRDefault="002D36A1" w:rsidP="002D36A1">
      <w:pPr>
        <w:rPr>
          <w:rFonts w:ascii="Arial" w:hAnsi="Arial" w:cs="Arial"/>
        </w:rPr>
      </w:pPr>
      <w:r w:rsidRPr="00515547">
        <w:rPr>
          <w:rFonts w:ascii="Arial" w:hAnsi="Arial" w:cs="Arial"/>
        </w:rPr>
        <w:t xml:space="preserve">Глава сельского поселения Алакуртти                      </w:t>
      </w:r>
      <w:r w:rsidR="00515547">
        <w:rPr>
          <w:rFonts w:ascii="Arial" w:hAnsi="Arial" w:cs="Arial"/>
        </w:rPr>
        <w:t xml:space="preserve">                        </w:t>
      </w:r>
      <w:r w:rsidRPr="00515547">
        <w:rPr>
          <w:rFonts w:ascii="Arial" w:hAnsi="Arial" w:cs="Arial"/>
        </w:rPr>
        <w:t xml:space="preserve">      А.П. Самарин</w:t>
      </w:r>
    </w:p>
    <w:p w:rsidR="002D36A1" w:rsidRDefault="002D36A1" w:rsidP="002D36A1">
      <w:pPr>
        <w:widowControl/>
        <w:suppressAutoHyphens w:val="0"/>
        <w:sectPr w:rsidR="002D36A1">
          <w:pgSz w:w="11906" w:h="16838"/>
          <w:pgMar w:top="567" w:right="850" w:bottom="709" w:left="1701" w:header="709" w:footer="709" w:gutter="0"/>
          <w:cols w:space="720"/>
        </w:sectPr>
      </w:pPr>
    </w:p>
    <w:p w:rsidR="00513121" w:rsidRPr="00F61D06" w:rsidRDefault="00513121" w:rsidP="00513121">
      <w:pPr>
        <w:ind w:firstLine="567"/>
        <w:jc w:val="right"/>
        <w:rPr>
          <w:rFonts w:ascii="Arial" w:hAnsi="Arial" w:cs="Arial"/>
        </w:rPr>
      </w:pPr>
      <w:r w:rsidRPr="00F61D06">
        <w:rPr>
          <w:rFonts w:ascii="Arial" w:hAnsi="Arial" w:cs="Arial"/>
        </w:rPr>
        <w:lastRenderedPageBreak/>
        <w:t>Приложение №1</w:t>
      </w:r>
    </w:p>
    <w:p w:rsidR="00513121" w:rsidRPr="00F61D06" w:rsidRDefault="00513121" w:rsidP="00513121">
      <w:pPr>
        <w:ind w:firstLine="567"/>
        <w:jc w:val="right"/>
        <w:rPr>
          <w:rFonts w:ascii="Arial" w:hAnsi="Arial" w:cs="Arial"/>
        </w:rPr>
      </w:pPr>
      <w:r w:rsidRPr="00F61D06">
        <w:rPr>
          <w:rFonts w:ascii="Arial" w:hAnsi="Arial" w:cs="Arial"/>
        </w:rPr>
        <w:t xml:space="preserve"> к Решению Совета депутатов</w:t>
      </w:r>
    </w:p>
    <w:p w:rsidR="00513121" w:rsidRPr="00F61D06" w:rsidRDefault="00513121" w:rsidP="00513121">
      <w:pPr>
        <w:ind w:firstLine="567"/>
        <w:jc w:val="right"/>
        <w:rPr>
          <w:rFonts w:ascii="Arial" w:hAnsi="Arial" w:cs="Arial"/>
        </w:rPr>
      </w:pPr>
      <w:r w:rsidRPr="00F61D06">
        <w:rPr>
          <w:rFonts w:ascii="Arial" w:hAnsi="Arial" w:cs="Arial"/>
        </w:rPr>
        <w:t>сельского поселения Алакуртти</w:t>
      </w:r>
    </w:p>
    <w:p w:rsidR="00513121" w:rsidRPr="00F61D06" w:rsidRDefault="00513121" w:rsidP="00513121">
      <w:pPr>
        <w:ind w:firstLine="567"/>
        <w:jc w:val="right"/>
        <w:rPr>
          <w:rFonts w:ascii="Arial" w:hAnsi="Arial" w:cs="Arial"/>
        </w:rPr>
      </w:pPr>
      <w:r w:rsidRPr="00F61D06">
        <w:rPr>
          <w:rFonts w:ascii="Arial" w:hAnsi="Arial" w:cs="Arial"/>
        </w:rPr>
        <w:t xml:space="preserve">Кандалакшского района </w:t>
      </w:r>
    </w:p>
    <w:p w:rsidR="00513121" w:rsidRPr="00F61D06" w:rsidRDefault="00513121" w:rsidP="00513121">
      <w:pPr>
        <w:ind w:firstLine="567"/>
        <w:jc w:val="right"/>
        <w:rPr>
          <w:rFonts w:ascii="Arial" w:hAnsi="Arial" w:cs="Arial"/>
        </w:rPr>
      </w:pPr>
      <w:r w:rsidRPr="00F61D06">
        <w:rPr>
          <w:rFonts w:ascii="Arial" w:hAnsi="Arial" w:cs="Arial"/>
        </w:rPr>
        <w:t xml:space="preserve">от «01» октября 2019 № </w:t>
      </w:r>
      <w:r w:rsidR="00D56458">
        <w:rPr>
          <w:rFonts w:ascii="Arial" w:hAnsi="Arial" w:cs="Arial"/>
        </w:rPr>
        <w:t>554</w:t>
      </w:r>
      <w:bookmarkStart w:id="0" w:name="_GoBack"/>
      <w:bookmarkEnd w:id="0"/>
    </w:p>
    <w:p w:rsidR="00513121" w:rsidRPr="00F61D06" w:rsidRDefault="00513121" w:rsidP="00513121">
      <w:pPr>
        <w:ind w:firstLine="567"/>
        <w:jc w:val="center"/>
        <w:rPr>
          <w:rFonts w:ascii="Arial" w:hAnsi="Arial" w:cs="Arial"/>
        </w:rPr>
      </w:pPr>
    </w:p>
    <w:p w:rsidR="00513121" w:rsidRPr="00F61D06" w:rsidRDefault="00513121" w:rsidP="00513121">
      <w:pPr>
        <w:ind w:firstLine="567"/>
        <w:jc w:val="center"/>
        <w:rPr>
          <w:rFonts w:ascii="Arial" w:hAnsi="Arial" w:cs="Arial"/>
        </w:rPr>
      </w:pPr>
    </w:p>
    <w:p w:rsidR="00513121" w:rsidRPr="00F61D06" w:rsidRDefault="00513121" w:rsidP="00513121">
      <w:pPr>
        <w:suppressAutoHyphens w:val="0"/>
        <w:autoSpaceDE w:val="0"/>
        <w:autoSpaceDN w:val="0"/>
        <w:jc w:val="center"/>
        <w:rPr>
          <w:rFonts w:ascii="Arial" w:hAnsi="Arial" w:cs="Arial"/>
        </w:rPr>
      </w:pPr>
      <w:r w:rsidRPr="00F61D06">
        <w:rPr>
          <w:rFonts w:ascii="Arial" w:hAnsi="Arial" w:cs="Arial"/>
        </w:rPr>
        <w:t>ПРОГНОЗНЫЙ ПЛАН (ПРОГРАММА)</w:t>
      </w:r>
    </w:p>
    <w:p w:rsidR="00513121" w:rsidRPr="00F61D06" w:rsidRDefault="00513121" w:rsidP="00513121">
      <w:pPr>
        <w:suppressAutoHyphens w:val="0"/>
        <w:autoSpaceDE w:val="0"/>
        <w:autoSpaceDN w:val="0"/>
        <w:jc w:val="center"/>
        <w:rPr>
          <w:rFonts w:ascii="Arial" w:hAnsi="Arial" w:cs="Arial"/>
        </w:rPr>
      </w:pPr>
      <w:r w:rsidRPr="00F61D06">
        <w:rPr>
          <w:rFonts w:ascii="Arial" w:hAnsi="Arial" w:cs="Arial"/>
        </w:rPr>
        <w:t>ПРИВАТИЗАЦИИ ИМУЩЕСТВА СЕЛЬСКОГО ПОСЕЛЕНИЯ АЛАКУРТТИ КАНДАЛАКШСКОГО РАЙОНА НА 2019 Г.</w:t>
      </w:r>
    </w:p>
    <w:p w:rsidR="00513121" w:rsidRPr="00F61D06" w:rsidRDefault="00513121" w:rsidP="00513121">
      <w:pPr>
        <w:suppressAutoHyphens w:val="0"/>
        <w:autoSpaceDE w:val="0"/>
        <w:autoSpaceDN w:val="0"/>
        <w:jc w:val="center"/>
        <w:rPr>
          <w:rFonts w:ascii="Arial" w:hAnsi="Arial" w:cs="Arial"/>
        </w:rPr>
      </w:pPr>
      <w:r w:rsidRPr="00F61D06">
        <w:rPr>
          <w:rFonts w:ascii="Arial" w:hAnsi="Arial" w:cs="Arial"/>
        </w:rPr>
        <w:t xml:space="preserve">И ПЛАНОВЫЙ ПЕРИОД 2020 – 2021 гг. </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jc w:val="center"/>
        <w:outlineLvl w:val="1"/>
        <w:rPr>
          <w:rFonts w:ascii="Arial" w:hAnsi="Arial" w:cs="Arial"/>
        </w:rPr>
      </w:pPr>
      <w:r w:rsidRPr="00F61D06">
        <w:rPr>
          <w:rFonts w:ascii="Arial" w:hAnsi="Arial" w:cs="Arial"/>
        </w:rPr>
        <w:t>Раздел I. Общие положения</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Прогнозный план (программа) приватизации муниципального имущества сельского поселения Алакуртти Кандалакшского района на 2019 г. и плановый период 20120-2021 года (далее - программа) устанавливает организационные и правовые основы процесса приватизации, определяет имущество, подлежащее приватизации, и способы его приватизации.</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jc w:val="center"/>
        <w:outlineLvl w:val="1"/>
        <w:rPr>
          <w:rFonts w:ascii="Arial" w:hAnsi="Arial" w:cs="Arial"/>
        </w:rPr>
      </w:pPr>
      <w:r w:rsidRPr="00F61D06">
        <w:rPr>
          <w:rFonts w:ascii="Arial" w:hAnsi="Arial" w:cs="Arial"/>
        </w:rPr>
        <w:t>Раздел II. Законодательные основы программы приватизации</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ind w:firstLine="540"/>
        <w:jc w:val="both"/>
        <w:rPr>
          <w:rFonts w:ascii="Arial" w:hAnsi="Arial" w:cs="Arial"/>
        </w:rPr>
      </w:pPr>
      <w:proofErr w:type="gramStart"/>
      <w:r w:rsidRPr="00F61D06">
        <w:rPr>
          <w:rFonts w:ascii="Arial" w:hAnsi="Arial" w:cs="Arial"/>
        </w:rPr>
        <w:t xml:space="preserve">Программа приватизации муниципального имущества на 2019 год и плановый период 2020-2021 года разработана в соответствии с Федеральными законами от 21.12.2001 </w:t>
      </w:r>
      <w:hyperlink r:id="rId6" w:history="1">
        <w:r w:rsidRPr="00F61D06">
          <w:rPr>
            <w:rFonts w:ascii="Arial" w:hAnsi="Arial" w:cs="Arial"/>
          </w:rPr>
          <w:t>N 178-ФЗ</w:t>
        </w:r>
      </w:hyperlink>
      <w:r w:rsidRPr="00F61D06">
        <w:rPr>
          <w:rFonts w:ascii="Arial" w:hAnsi="Arial" w:cs="Arial"/>
        </w:rPr>
        <w:t xml:space="preserve"> "О приватизации государственного и муниципального имущества", от 22.07.2008 </w:t>
      </w:r>
      <w:hyperlink r:id="rId7" w:history="1">
        <w:r w:rsidRPr="00F61D06">
          <w:rPr>
            <w:rFonts w:ascii="Arial" w:hAnsi="Arial" w:cs="Arial"/>
          </w:rPr>
          <w:t>N 159-ФЗ</w:t>
        </w:r>
      </w:hyperlink>
      <w:r w:rsidRPr="00F61D06">
        <w:rPr>
          <w:rFonts w:ascii="Arial" w:hAnsi="Arial" w:cs="Arial"/>
        </w:rPr>
        <w:t xml:space="preserve">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w:t>
      </w:r>
      <w:proofErr w:type="gramEnd"/>
      <w:r w:rsidRPr="00F61D06">
        <w:rPr>
          <w:rFonts w:ascii="Arial" w:hAnsi="Arial" w:cs="Arial"/>
        </w:rPr>
        <w:t xml:space="preserve"> законодательные акты Российской Федерации", от 06.10.2003 </w:t>
      </w:r>
      <w:hyperlink r:id="rId8" w:history="1">
        <w:r w:rsidRPr="00F61D06">
          <w:rPr>
            <w:rFonts w:ascii="Arial" w:hAnsi="Arial" w:cs="Arial"/>
          </w:rPr>
          <w:t>N 131-ФЗ</w:t>
        </w:r>
      </w:hyperlink>
      <w:r w:rsidRPr="00F61D06">
        <w:rPr>
          <w:rFonts w:ascii="Arial" w:hAnsi="Arial" w:cs="Arial"/>
        </w:rPr>
        <w:t xml:space="preserve"> "Об общих принципах организации местного самоуправления в Российской Федерации" и решениями Совета депутатов сельского поселения Алакуртти Кандалакшский район.</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jc w:val="center"/>
        <w:outlineLvl w:val="1"/>
        <w:rPr>
          <w:rFonts w:ascii="Arial" w:hAnsi="Arial" w:cs="Arial"/>
        </w:rPr>
      </w:pPr>
      <w:r w:rsidRPr="00F61D06">
        <w:rPr>
          <w:rFonts w:ascii="Arial" w:hAnsi="Arial" w:cs="Arial"/>
        </w:rPr>
        <w:t>Раздел III. Приоритеты и основные принципы</w:t>
      </w:r>
    </w:p>
    <w:p w:rsidR="00513121" w:rsidRPr="00F61D06" w:rsidRDefault="00513121" w:rsidP="00513121">
      <w:pPr>
        <w:widowControl/>
        <w:suppressAutoHyphens w:val="0"/>
        <w:autoSpaceDE w:val="0"/>
        <w:autoSpaceDN w:val="0"/>
        <w:adjustRightInd w:val="0"/>
        <w:jc w:val="center"/>
        <w:rPr>
          <w:rFonts w:ascii="Arial" w:hAnsi="Arial" w:cs="Arial"/>
        </w:rPr>
      </w:pPr>
      <w:r w:rsidRPr="00F61D06">
        <w:rPr>
          <w:rFonts w:ascii="Arial" w:hAnsi="Arial" w:cs="Arial"/>
        </w:rPr>
        <w:t>программы приватизации</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3.1. Программа приватизации муниципального имущества сельского поселения Алакуртти Кандалакшского района распространяется исключительно на объекты, принадлежащие сельскому поселению Алакуртти Кандалакшского района на праве собственности.</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3.2. Главными целями приватизации муниципального имущества являются:</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приватизация муниципального имущества, не задействованного в обеспечении полномочий органов местного самоуправления, не участвующего в решении вопросов местного значения, находящихся в ведении сельского поселения Алакуртти;</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создание условий для эффективного развития экономики, сокращение расходов бюджета сельского поселения Алакуртти Кандалакшского района на управление муниципальным имуществом;</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привлечение инвестиций в экономику сельского поселения Алакуртти Кандалакшского района;</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участие в приватизации субъектов малого и среднего предпринимательства;</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lastRenderedPageBreak/>
        <w:t>- поступление дополнительных доходов от приватизации в бюджет сельского поселения Алакуртти Кандалакшского района.</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xml:space="preserve">3.3. Следование приоритетам достигается принятием соответствующих действующему законодательству решений о способах приватизации, </w:t>
      </w:r>
      <w:proofErr w:type="gramStart"/>
      <w:r w:rsidRPr="00F61D06">
        <w:rPr>
          <w:rFonts w:ascii="Arial" w:hAnsi="Arial" w:cs="Arial"/>
        </w:rPr>
        <w:t>по</w:t>
      </w:r>
      <w:proofErr w:type="gramEnd"/>
      <w:r w:rsidR="00F61D06">
        <w:rPr>
          <w:rFonts w:ascii="Arial" w:hAnsi="Arial" w:cs="Arial"/>
        </w:rPr>
        <w:t xml:space="preserve"> </w:t>
      </w:r>
      <w:proofErr w:type="gramStart"/>
      <w:r w:rsidRPr="00F61D06">
        <w:rPr>
          <w:rFonts w:ascii="Arial" w:hAnsi="Arial" w:cs="Arial"/>
        </w:rPr>
        <w:t>объектовых</w:t>
      </w:r>
      <w:proofErr w:type="gramEnd"/>
      <w:r w:rsidRPr="00F61D06">
        <w:rPr>
          <w:rFonts w:ascii="Arial" w:hAnsi="Arial" w:cs="Arial"/>
        </w:rPr>
        <w:t xml:space="preserve"> решений о сроках и начальных ценах, проведением инвентаризации и оценки имущества, отслеживанием и анализом рыночной ситуации.</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3.4. Приватизация муниципального имущества основывается на равенстве участников торгов и открытости деятельности органов местного самоуправления.</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3.5. Муниципальное имущество отчуждается в собственность физических или юридических лиц исключительно на возмездной основе.</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3.6. Приватизацию муниципального имущества осуществляет администрация сельского поселения Алакуртти Кандалакшского района, в порядке, установленном действующим законодательством, и в соответствии с принятой Программой.</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Информационное сообщение о продаже муниципального имущества, об итогах его продажи размещается на сайте администрации сельского поселения Алакуртти Кандалакшского района в сети Интернет.</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3.7.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действующим законодательством.</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Обязанность доказать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муниципального имущества признается недействительной в соответствии с законодательством Российской Федерации.</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jc w:val="center"/>
        <w:outlineLvl w:val="1"/>
        <w:rPr>
          <w:rFonts w:ascii="Arial" w:hAnsi="Arial" w:cs="Arial"/>
        </w:rPr>
      </w:pPr>
      <w:r w:rsidRPr="00F61D06">
        <w:rPr>
          <w:rFonts w:ascii="Arial" w:hAnsi="Arial" w:cs="Arial"/>
        </w:rPr>
        <w:t>Раздел IV. Перечень объектов муниципального имущества,</w:t>
      </w:r>
    </w:p>
    <w:p w:rsidR="00513121" w:rsidRPr="00F61D06" w:rsidRDefault="00513121" w:rsidP="00513121">
      <w:pPr>
        <w:widowControl/>
        <w:suppressAutoHyphens w:val="0"/>
        <w:autoSpaceDE w:val="0"/>
        <w:autoSpaceDN w:val="0"/>
        <w:adjustRightInd w:val="0"/>
        <w:jc w:val="center"/>
        <w:rPr>
          <w:rFonts w:ascii="Arial" w:hAnsi="Arial" w:cs="Arial"/>
        </w:rPr>
      </w:pPr>
      <w:r w:rsidRPr="00F61D06">
        <w:rPr>
          <w:rFonts w:ascii="Arial" w:hAnsi="Arial" w:cs="Arial"/>
        </w:rPr>
        <w:t>подлежащих приватизации</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В 201</w:t>
      </w:r>
      <w:r w:rsidR="00AC7FE9" w:rsidRPr="00F61D06">
        <w:rPr>
          <w:rFonts w:ascii="Arial" w:hAnsi="Arial" w:cs="Arial"/>
        </w:rPr>
        <w:t>9</w:t>
      </w:r>
      <w:r w:rsidRPr="00F61D06">
        <w:rPr>
          <w:rFonts w:ascii="Arial" w:hAnsi="Arial" w:cs="Arial"/>
        </w:rPr>
        <w:t xml:space="preserve"> г. и плановый период 20</w:t>
      </w:r>
      <w:r w:rsidR="00AC7FE9" w:rsidRPr="00F61D06">
        <w:rPr>
          <w:rFonts w:ascii="Arial" w:hAnsi="Arial" w:cs="Arial"/>
        </w:rPr>
        <w:t>20-2021</w:t>
      </w:r>
      <w:r w:rsidRPr="00F61D06">
        <w:rPr>
          <w:rFonts w:ascii="Arial" w:hAnsi="Arial" w:cs="Arial"/>
        </w:rPr>
        <w:t xml:space="preserve"> г. подлежат приватизации следующие объекты муниципального имущества:</w:t>
      </w:r>
    </w:p>
    <w:p w:rsidR="00513121" w:rsidRPr="00F61D06" w:rsidRDefault="00513121" w:rsidP="00513121">
      <w:pPr>
        <w:widowControl/>
        <w:suppressAutoHyphens w:val="0"/>
        <w:rPr>
          <w:rFonts w:ascii="Arial" w:hAnsi="Arial" w:cs="Arial"/>
          <w:sz w:val="22"/>
          <w:szCs w:val="22"/>
        </w:rPr>
      </w:pPr>
    </w:p>
    <w:tbl>
      <w:tblPr>
        <w:tblStyle w:val="a3"/>
        <w:tblW w:w="9045" w:type="dxa"/>
        <w:tblLayout w:type="fixed"/>
        <w:tblLook w:val="04A0" w:firstRow="1" w:lastRow="0" w:firstColumn="1" w:lastColumn="0" w:noHBand="0" w:noVBand="1"/>
      </w:tblPr>
      <w:tblGrid>
        <w:gridCol w:w="534"/>
        <w:gridCol w:w="2551"/>
        <w:gridCol w:w="992"/>
        <w:gridCol w:w="1279"/>
        <w:gridCol w:w="1419"/>
        <w:gridCol w:w="2270"/>
      </w:tblGrid>
      <w:tr w:rsidR="00513121" w:rsidRPr="00F61D06" w:rsidTr="00AC7FE9">
        <w:tc>
          <w:tcPr>
            <w:tcW w:w="534" w:type="dxa"/>
            <w:tcBorders>
              <w:top w:val="single" w:sz="4" w:space="0" w:color="auto"/>
              <w:left w:val="single" w:sz="4" w:space="0" w:color="auto"/>
              <w:bottom w:val="single" w:sz="4" w:space="0" w:color="auto"/>
              <w:right w:val="single" w:sz="4" w:space="0" w:color="auto"/>
            </w:tcBorders>
          </w:tcPr>
          <w:p w:rsidR="00513121" w:rsidRPr="00F61D06" w:rsidRDefault="00513121" w:rsidP="00CD64D3">
            <w:pPr>
              <w:pStyle w:val="21"/>
              <w:ind w:firstLine="0"/>
              <w:rPr>
                <w:rFonts w:ascii="Arial" w:hAnsi="Arial" w:cs="Arial"/>
                <w:b/>
                <w:sz w:val="22"/>
                <w:szCs w:val="22"/>
              </w:rPr>
            </w:pPr>
            <w:r w:rsidRPr="00F61D06">
              <w:rPr>
                <w:rFonts w:ascii="Arial" w:hAnsi="Arial" w:cs="Arial"/>
                <w:b/>
                <w:sz w:val="22"/>
                <w:szCs w:val="22"/>
              </w:rPr>
              <w:t>№</w:t>
            </w:r>
            <w:proofErr w:type="gramStart"/>
            <w:r w:rsidRPr="00F61D06">
              <w:rPr>
                <w:rFonts w:ascii="Arial" w:hAnsi="Arial" w:cs="Arial"/>
                <w:b/>
                <w:sz w:val="22"/>
                <w:szCs w:val="22"/>
              </w:rPr>
              <w:t>п</w:t>
            </w:r>
            <w:proofErr w:type="gramEnd"/>
            <w:r w:rsidRPr="00F61D06">
              <w:rPr>
                <w:rFonts w:ascii="Arial" w:hAnsi="Arial" w:cs="Arial"/>
                <w:b/>
                <w:sz w:val="22"/>
                <w:szCs w:val="22"/>
              </w:rPr>
              <w:t>/п</w:t>
            </w:r>
          </w:p>
          <w:p w:rsidR="00513121" w:rsidRPr="00F61D06" w:rsidRDefault="00513121" w:rsidP="00CD64D3">
            <w:pPr>
              <w:pStyle w:val="21"/>
              <w:ind w:firstLine="0"/>
              <w:rPr>
                <w:rFonts w:ascii="Arial" w:hAnsi="Arial" w:cs="Arial"/>
                <w:b/>
                <w:sz w:val="22"/>
                <w:szCs w:val="22"/>
              </w:rPr>
            </w:pPr>
          </w:p>
          <w:p w:rsidR="00513121" w:rsidRPr="00F61D06" w:rsidRDefault="00513121" w:rsidP="00CD64D3">
            <w:pPr>
              <w:pStyle w:val="21"/>
              <w:ind w:firstLine="0"/>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rPr>
                <w:rFonts w:ascii="Arial" w:hAnsi="Arial" w:cs="Arial"/>
                <w:b/>
                <w:sz w:val="22"/>
                <w:szCs w:val="22"/>
              </w:rPr>
            </w:pPr>
            <w:r w:rsidRPr="00F61D06">
              <w:rPr>
                <w:rFonts w:ascii="Arial" w:hAnsi="Arial" w:cs="Arial"/>
                <w:b/>
                <w:sz w:val="22"/>
                <w:szCs w:val="22"/>
              </w:rPr>
              <w:t>Адрес</w:t>
            </w:r>
          </w:p>
          <w:p w:rsidR="00513121" w:rsidRPr="00F61D06" w:rsidRDefault="00513121" w:rsidP="00CD64D3">
            <w:pPr>
              <w:pStyle w:val="21"/>
              <w:ind w:firstLine="0"/>
              <w:rPr>
                <w:rFonts w:ascii="Arial" w:hAnsi="Arial" w:cs="Arial"/>
                <w:b/>
                <w:sz w:val="22"/>
                <w:szCs w:val="22"/>
              </w:rPr>
            </w:pPr>
            <w:r w:rsidRPr="00F61D06">
              <w:rPr>
                <w:rFonts w:ascii="Arial" w:hAnsi="Arial" w:cs="Arial"/>
                <w:b/>
                <w:sz w:val="22"/>
                <w:szCs w:val="22"/>
              </w:rPr>
              <w:t>(местонахождение)</w:t>
            </w:r>
          </w:p>
          <w:p w:rsidR="00513121" w:rsidRPr="00F61D06" w:rsidRDefault="00513121" w:rsidP="00CD64D3">
            <w:pPr>
              <w:pStyle w:val="21"/>
              <w:rPr>
                <w:rFonts w:ascii="Arial" w:hAnsi="Arial" w:cs="Arial"/>
                <w:b/>
                <w:sz w:val="22"/>
                <w:szCs w:val="22"/>
              </w:rPr>
            </w:pPr>
            <w:r w:rsidRPr="00F61D06">
              <w:rPr>
                <w:rFonts w:ascii="Arial" w:hAnsi="Arial" w:cs="Arial"/>
                <w:b/>
                <w:sz w:val="22"/>
                <w:szCs w:val="22"/>
              </w:rPr>
              <w:t>объекта</w:t>
            </w:r>
          </w:p>
        </w:tc>
        <w:tc>
          <w:tcPr>
            <w:tcW w:w="992"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rPr>
                <w:rFonts w:ascii="Arial" w:hAnsi="Arial" w:cs="Arial"/>
                <w:b/>
                <w:sz w:val="22"/>
                <w:szCs w:val="22"/>
              </w:rPr>
            </w:pPr>
            <w:r w:rsidRPr="00F61D06">
              <w:rPr>
                <w:rFonts w:ascii="Arial" w:hAnsi="Arial" w:cs="Arial"/>
                <w:b/>
                <w:sz w:val="22"/>
                <w:szCs w:val="22"/>
              </w:rPr>
              <w:t>Площадь</w:t>
            </w:r>
          </w:p>
          <w:p w:rsidR="00513121" w:rsidRPr="00F61D06" w:rsidRDefault="00AC7FE9" w:rsidP="00CD64D3">
            <w:pPr>
              <w:pStyle w:val="21"/>
              <w:ind w:firstLine="0"/>
              <w:rPr>
                <w:rFonts w:ascii="Arial" w:hAnsi="Arial" w:cs="Arial"/>
                <w:b/>
                <w:sz w:val="22"/>
                <w:szCs w:val="22"/>
              </w:rPr>
            </w:pPr>
            <w:r w:rsidRPr="00F61D06">
              <w:rPr>
                <w:rFonts w:ascii="Arial" w:hAnsi="Arial" w:cs="Arial"/>
                <w:b/>
                <w:sz w:val="22"/>
                <w:szCs w:val="22"/>
              </w:rPr>
              <w:t>к</w:t>
            </w:r>
            <w:r w:rsidR="00513121" w:rsidRPr="00F61D06">
              <w:rPr>
                <w:rFonts w:ascii="Arial" w:hAnsi="Arial" w:cs="Arial"/>
                <w:b/>
                <w:sz w:val="22"/>
                <w:szCs w:val="22"/>
              </w:rPr>
              <w:t>в. м.</w:t>
            </w:r>
          </w:p>
        </w:tc>
        <w:tc>
          <w:tcPr>
            <w:tcW w:w="1279"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rPr>
                <w:rFonts w:ascii="Arial" w:hAnsi="Arial" w:cs="Arial"/>
                <w:b/>
                <w:sz w:val="22"/>
                <w:szCs w:val="22"/>
              </w:rPr>
            </w:pPr>
            <w:r w:rsidRPr="00F61D06">
              <w:rPr>
                <w:rFonts w:ascii="Arial" w:hAnsi="Arial" w:cs="Arial"/>
                <w:b/>
                <w:sz w:val="22"/>
                <w:szCs w:val="22"/>
              </w:rPr>
              <w:t>Характеристика</w:t>
            </w:r>
          </w:p>
        </w:tc>
        <w:tc>
          <w:tcPr>
            <w:tcW w:w="1419"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jc w:val="left"/>
              <w:rPr>
                <w:rFonts w:ascii="Arial" w:hAnsi="Arial" w:cs="Arial"/>
                <w:b/>
                <w:sz w:val="22"/>
                <w:szCs w:val="22"/>
              </w:rPr>
            </w:pPr>
            <w:r w:rsidRPr="00F61D06">
              <w:rPr>
                <w:rFonts w:ascii="Arial" w:hAnsi="Arial" w:cs="Arial"/>
                <w:b/>
                <w:sz w:val="22"/>
                <w:szCs w:val="22"/>
              </w:rPr>
              <w:t xml:space="preserve">Данные </w:t>
            </w:r>
            <w:proofErr w:type="gramStart"/>
            <w:r w:rsidRPr="00F61D06">
              <w:rPr>
                <w:rFonts w:ascii="Arial" w:hAnsi="Arial" w:cs="Arial"/>
                <w:b/>
                <w:sz w:val="22"/>
                <w:szCs w:val="22"/>
              </w:rPr>
              <w:t>по</w:t>
            </w:r>
            <w:proofErr w:type="gramEnd"/>
          </w:p>
          <w:p w:rsidR="00513121" w:rsidRPr="00F61D06" w:rsidRDefault="00513121" w:rsidP="00CD64D3">
            <w:pPr>
              <w:pStyle w:val="21"/>
              <w:ind w:firstLine="0"/>
              <w:jc w:val="left"/>
              <w:rPr>
                <w:rFonts w:ascii="Arial" w:hAnsi="Arial" w:cs="Arial"/>
                <w:b/>
                <w:sz w:val="22"/>
                <w:szCs w:val="22"/>
              </w:rPr>
            </w:pPr>
            <w:r w:rsidRPr="00F61D06">
              <w:rPr>
                <w:rFonts w:ascii="Arial" w:hAnsi="Arial" w:cs="Arial"/>
                <w:b/>
                <w:sz w:val="22"/>
                <w:szCs w:val="22"/>
              </w:rPr>
              <w:t>экспликации</w:t>
            </w:r>
          </w:p>
        </w:tc>
        <w:tc>
          <w:tcPr>
            <w:tcW w:w="2270"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rPr>
                <w:rFonts w:ascii="Arial" w:hAnsi="Arial" w:cs="Arial"/>
                <w:b/>
                <w:sz w:val="22"/>
                <w:szCs w:val="22"/>
              </w:rPr>
            </w:pPr>
            <w:r w:rsidRPr="00F61D06">
              <w:rPr>
                <w:rFonts w:ascii="Arial" w:hAnsi="Arial" w:cs="Arial"/>
                <w:b/>
                <w:sz w:val="22"/>
                <w:szCs w:val="22"/>
              </w:rPr>
              <w:t>Кадастровый номер</w:t>
            </w:r>
          </w:p>
        </w:tc>
      </w:tr>
      <w:tr w:rsidR="00513121" w:rsidRPr="00F61D06" w:rsidTr="00AC7FE9">
        <w:tc>
          <w:tcPr>
            <w:tcW w:w="534"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jc w:val="both"/>
              <w:rPr>
                <w:rFonts w:ascii="Arial" w:hAnsi="Arial" w:cs="Arial"/>
                <w:sz w:val="22"/>
                <w:szCs w:val="22"/>
              </w:rPr>
            </w:pPr>
            <w:r w:rsidRPr="00F61D06">
              <w:rPr>
                <w:rFonts w:ascii="Arial" w:hAnsi="Arial" w:cs="Arial"/>
                <w:sz w:val="22"/>
                <w:szCs w:val="22"/>
              </w:rPr>
              <w:t>1.</w:t>
            </w:r>
          </w:p>
        </w:tc>
        <w:tc>
          <w:tcPr>
            <w:tcW w:w="2551" w:type="dxa"/>
            <w:tcBorders>
              <w:top w:val="single" w:sz="4" w:space="0" w:color="auto"/>
              <w:left w:val="single" w:sz="4" w:space="0" w:color="auto"/>
              <w:bottom w:val="single" w:sz="4" w:space="0" w:color="auto"/>
              <w:right w:val="single" w:sz="4" w:space="0" w:color="auto"/>
            </w:tcBorders>
            <w:hideMark/>
          </w:tcPr>
          <w:p w:rsidR="00AC7FE9" w:rsidRPr="00F61D06" w:rsidRDefault="00513121" w:rsidP="00AC7FE9">
            <w:pPr>
              <w:pStyle w:val="21"/>
              <w:ind w:firstLine="0"/>
              <w:jc w:val="left"/>
              <w:rPr>
                <w:rFonts w:ascii="Arial" w:hAnsi="Arial" w:cs="Arial"/>
                <w:sz w:val="22"/>
                <w:szCs w:val="22"/>
              </w:rPr>
            </w:pPr>
            <w:r w:rsidRPr="00F61D06">
              <w:rPr>
                <w:rFonts w:ascii="Arial" w:hAnsi="Arial" w:cs="Arial"/>
                <w:sz w:val="22"/>
                <w:szCs w:val="22"/>
              </w:rPr>
              <w:t xml:space="preserve">Мурманская область, </w:t>
            </w:r>
            <w:proofErr w:type="gramStart"/>
            <w:r w:rsidRPr="00F61D06">
              <w:rPr>
                <w:rFonts w:ascii="Arial" w:hAnsi="Arial" w:cs="Arial"/>
                <w:sz w:val="22"/>
                <w:szCs w:val="22"/>
              </w:rPr>
              <w:t>Кандалакшский</w:t>
            </w:r>
            <w:proofErr w:type="gramEnd"/>
            <w:r w:rsidRPr="00F61D06">
              <w:rPr>
                <w:rFonts w:ascii="Arial" w:hAnsi="Arial" w:cs="Arial"/>
                <w:sz w:val="22"/>
                <w:szCs w:val="22"/>
              </w:rPr>
              <w:t xml:space="preserve"> р-он,</w:t>
            </w:r>
          </w:p>
          <w:p w:rsidR="00AC7FE9" w:rsidRPr="00F61D06" w:rsidRDefault="00513121" w:rsidP="00AC7FE9">
            <w:pPr>
              <w:pStyle w:val="21"/>
              <w:ind w:firstLine="0"/>
              <w:jc w:val="left"/>
              <w:rPr>
                <w:rFonts w:ascii="Arial" w:hAnsi="Arial" w:cs="Arial"/>
                <w:sz w:val="22"/>
                <w:szCs w:val="22"/>
              </w:rPr>
            </w:pPr>
            <w:r w:rsidRPr="00F61D06">
              <w:rPr>
                <w:rFonts w:ascii="Arial" w:hAnsi="Arial" w:cs="Arial"/>
                <w:sz w:val="22"/>
                <w:szCs w:val="22"/>
              </w:rPr>
              <w:t xml:space="preserve"> с. Алакуртти,</w:t>
            </w:r>
          </w:p>
          <w:p w:rsidR="00513121" w:rsidRPr="00F61D06" w:rsidRDefault="00513121" w:rsidP="00AC7FE9">
            <w:pPr>
              <w:pStyle w:val="21"/>
              <w:ind w:firstLine="0"/>
              <w:jc w:val="left"/>
              <w:rPr>
                <w:rFonts w:ascii="Arial" w:hAnsi="Arial" w:cs="Arial"/>
                <w:sz w:val="22"/>
                <w:szCs w:val="22"/>
              </w:rPr>
            </w:pPr>
            <w:r w:rsidRPr="00F61D06">
              <w:rPr>
                <w:rFonts w:ascii="Arial" w:hAnsi="Arial" w:cs="Arial"/>
                <w:sz w:val="22"/>
                <w:szCs w:val="22"/>
              </w:rPr>
              <w:t xml:space="preserve"> ул. Нижняя Набережная, д. 3</w:t>
            </w:r>
          </w:p>
        </w:tc>
        <w:tc>
          <w:tcPr>
            <w:tcW w:w="992" w:type="dxa"/>
            <w:tcBorders>
              <w:top w:val="single" w:sz="4" w:space="0" w:color="auto"/>
              <w:left w:val="single" w:sz="4" w:space="0" w:color="auto"/>
              <w:bottom w:val="single" w:sz="4" w:space="0" w:color="auto"/>
              <w:right w:val="single" w:sz="4" w:space="0" w:color="auto"/>
            </w:tcBorders>
            <w:hideMark/>
          </w:tcPr>
          <w:p w:rsidR="00513121" w:rsidRPr="00F61D06" w:rsidRDefault="00513121" w:rsidP="00AC7FE9">
            <w:pPr>
              <w:pStyle w:val="21"/>
              <w:ind w:firstLine="0"/>
              <w:jc w:val="both"/>
              <w:rPr>
                <w:rFonts w:ascii="Arial" w:hAnsi="Arial" w:cs="Arial"/>
                <w:sz w:val="22"/>
                <w:szCs w:val="22"/>
              </w:rPr>
            </w:pPr>
            <w:r w:rsidRPr="00F61D06">
              <w:rPr>
                <w:rFonts w:ascii="Arial" w:hAnsi="Arial" w:cs="Arial"/>
                <w:sz w:val="22"/>
                <w:szCs w:val="22"/>
              </w:rPr>
              <w:t xml:space="preserve">260,5 </w:t>
            </w:r>
          </w:p>
        </w:tc>
        <w:tc>
          <w:tcPr>
            <w:tcW w:w="1279"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jc w:val="both"/>
              <w:rPr>
                <w:rFonts w:ascii="Arial" w:hAnsi="Arial" w:cs="Arial"/>
                <w:sz w:val="22"/>
                <w:szCs w:val="22"/>
              </w:rPr>
            </w:pPr>
            <w:r w:rsidRPr="00F61D06">
              <w:rPr>
                <w:rFonts w:ascii="Arial" w:hAnsi="Arial" w:cs="Arial"/>
                <w:sz w:val="22"/>
                <w:szCs w:val="22"/>
              </w:rPr>
              <w:t>Нежилое здание</w:t>
            </w:r>
          </w:p>
        </w:tc>
        <w:tc>
          <w:tcPr>
            <w:tcW w:w="1419"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jc w:val="both"/>
              <w:rPr>
                <w:rFonts w:ascii="Arial" w:hAnsi="Arial" w:cs="Arial"/>
                <w:sz w:val="22"/>
                <w:szCs w:val="22"/>
              </w:rPr>
            </w:pPr>
            <w:r w:rsidRPr="00F61D06">
              <w:rPr>
                <w:rFonts w:ascii="Arial" w:hAnsi="Arial" w:cs="Arial"/>
                <w:sz w:val="22"/>
                <w:szCs w:val="22"/>
              </w:rPr>
              <w:t xml:space="preserve">Нежилое </w:t>
            </w:r>
            <w:r w:rsidR="00AC7FE9" w:rsidRPr="00F61D06">
              <w:rPr>
                <w:rFonts w:ascii="Arial" w:hAnsi="Arial" w:cs="Arial"/>
                <w:sz w:val="22"/>
                <w:szCs w:val="22"/>
              </w:rPr>
              <w:t>здание, одно этажное, кирпичное</w:t>
            </w:r>
          </w:p>
        </w:tc>
        <w:tc>
          <w:tcPr>
            <w:tcW w:w="2270" w:type="dxa"/>
            <w:tcBorders>
              <w:top w:val="single" w:sz="4" w:space="0" w:color="auto"/>
              <w:left w:val="single" w:sz="4" w:space="0" w:color="auto"/>
              <w:bottom w:val="single" w:sz="4" w:space="0" w:color="auto"/>
              <w:right w:val="single" w:sz="4" w:space="0" w:color="auto"/>
            </w:tcBorders>
            <w:hideMark/>
          </w:tcPr>
          <w:p w:rsidR="00513121" w:rsidRPr="00F61D06" w:rsidRDefault="00513121" w:rsidP="00CD64D3">
            <w:pPr>
              <w:pStyle w:val="21"/>
              <w:ind w:firstLine="0"/>
              <w:jc w:val="both"/>
              <w:rPr>
                <w:rFonts w:ascii="Arial" w:hAnsi="Arial" w:cs="Arial"/>
                <w:sz w:val="22"/>
                <w:szCs w:val="22"/>
              </w:rPr>
            </w:pPr>
            <w:r w:rsidRPr="00F61D06">
              <w:rPr>
                <w:rFonts w:ascii="Arial" w:hAnsi="Arial" w:cs="Arial"/>
                <w:sz w:val="22"/>
                <w:szCs w:val="22"/>
              </w:rPr>
              <w:t>51:18:0000000:2510</w:t>
            </w:r>
          </w:p>
        </w:tc>
      </w:tr>
    </w:tbl>
    <w:p w:rsidR="00513121" w:rsidRPr="00F61D06" w:rsidRDefault="00513121" w:rsidP="00513121">
      <w:pPr>
        <w:widowControl/>
        <w:suppressAutoHyphens w:val="0"/>
        <w:rPr>
          <w:rFonts w:ascii="Arial" w:hAnsi="Arial" w:cs="Arial"/>
        </w:rPr>
      </w:pPr>
    </w:p>
    <w:p w:rsidR="00513121" w:rsidRPr="00F61D06" w:rsidRDefault="00513121" w:rsidP="00513121">
      <w:pPr>
        <w:widowControl/>
        <w:suppressAutoHyphens w:val="0"/>
        <w:rPr>
          <w:rFonts w:ascii="Arial" w:hAnsi="Arial" w:cs="Arial"/>
        </w:rPr>
      </w:pPr>
    </w:p>
    <w:p w:rsidR="00513121" w:rsidRPr="00F61D06" w:rsidRDefault="00513121" w:rsidP="00513121">
      <w:pPr>
        <w:ind w:firstLine="567"/>
        <w:jc w:val="center"/>
        <w:rPr>
          <w:rFonts w:ascii="Arial" w:hAnsi="Arial" w:cs="Arial"/>
        </w:rPr>
      </w:pPr>
    </w:p>
    <w:p w:rsidR="00AC7FE9" w:rsidRPr="00F61D06" w:rsidRDefault="00AC7FE9" w:rsidP="00513121">
      <w:pPr>
        <w:widowControl/>
        <w:suppressAutoHyphens w:val="0"/>
        <w:autoSpaceDE w:val="0"/>
        <w:autoSpaceDN w:val="0"/>
        <w:adjustRightInd w:val="0"/>
        <w:jc w:val="center"/>
        <w:outlineLvl w:val="1"/>
        <w:rPr>
          <w:rFonts w:ascii="Arial" w:hAnsi="Arial" w:cs="Arial"/>
        </w:rPr>
      </w:pPr>
    </w:p>
    <w:p w:rsidR="00AC7FE9" w:rsidRPr="00F61D06" w:rsidRDefault="00AC7FE9" w:rsidP="00513121">
      <w:pPr>
        <w:widowControl/>
        <w:suppressAutoHyphens w:val="0"/>
        <w:autoSpaceDE w:val="0"/>
        <w:autoSpaceDN w:val="0"/>
        <w:adjustRightInd w:val="0"/>
        <w:jc w:val="center"/>
        <w:outlineLvl w:val="1"/>
        <w:rPr>
          <w:rFonts w:ascii="Arial" w:hAnsi="Arial" w:cs="Arial"/>
        </w:rPr>
      </w:pPr>
    </w:p>
    <w:p w:rsidR="00AC7FE9" w:rsidRPr="00F61D06" w:rsidRDefault="00AC7FE9" w:rsidP="00513121">
      <w:pPr>
        <w:widowControl/>
        <w:suppressAutoHyphens w:val="0"/>
        <w:autoSpaceDE w:val="0"/>
        <w:autoSpaceDN w:val="0"/>
        <w:adjustRightInd w:val="0"/>
        <w:jc w:val="center"/>
        <w:outlineLvl w:val="1"/>
        <w:rPr>
          <w:rFonts w:ascii="Arial" w:hAnsi="Arial" w:cs="Arial"/>
        </w:rPr>
      </w:pPr>
    </w:p>
    <w:p w:rsidR="00AC7FE9" w:rsidRPr="00F61D06" w:rsidRDefault="00AC7FE9" w:rsidP="00513121">
      <w:pPr>
        <w:widowControl/>
        <w:suppressAutoHyphens w:val="0"/>
        <w:autoSpaceDE w:val="0"/>
        <w:autoSpaceDN w:val="0"/>
        <w:adjustRightInd w:val="0"/>
        <w:jc w:val="center"/>
        <w:outlineLvl w:val="1"/>
        <w:rPr>
          <w:rFonts w:ascii="Arial" w:hAnsi="Arial" w:cs="Arial"/>
        </w:rPr>
      </w:pPr>
    </w:p>
    <w:p w:rsidR="00513121" w:rsidRPr="00F61D06" w:rsidRDefault="00513121" w:rsidP="00513121">
      <w:pPr>
        <w:widowControl/>
        <w:suppressAutoHyphens w:val="0"/>
        <w:autoSpaceDE w:val="0"/>
        <w:autoSpaceDN w:val="0"/>
        <w:adjustRightInd w:val="0"/>
        <w:jc w:val="center"/>
        <w:outlineLvl w:val="1"/>
        <w:rPr>
          <w:rFonts w:ascii="Arial" w:hAnsi="Arial" w:cs="Arial"/>
        </w:rPr>
      </w:pPr>
      <w:r w:rsidRPr="00F61D06">
        <w:rPr>
          <w:rFonts w:ascii="Arial" w:hAnsi="Arial" w:cs="Arial"/>
        </w:rPr>
        <w:t>Раздел V. Порядок принятия решения об условиях</w:t>
      </w:r>
    </w:p>
    <w:p w:rsidR="00513121" w:rsidRPr="00F61D06" w:rsidRDefault="00513121" w:rsidP="00513121">
      <w:pPr>
        <w:widowControl/>
        <w:suppressAutoHyphens w:val="0"/>
        <w:autoSpaceDE w:val="0"/>
        <w:autoSpaceDN w:val="0"/>
        <w:adjustRightInd w:val="0"/>
        <w:jc w:val="center"/>
        <w:rPr>
          <w:rFonts w:ascii="Arial" w:hAnsi="Arial" w:cs="Arial"/>
        </w:rPr>
      </w:pPr>
      <w:r w:rsidRPr="00F61D06">
        <w:rPr>
          <w:rFonts w:ascii="Arial" w:hAnsi="Arial" w:cs="Arial"/>
        </w:rPr>
        <w:t>приватизации муниципального имущества</w:t>
      </w:r>
    </w:p>
    <w:p w:rsidR="00513121" w:rsidRPr="00F61D06" w:rsidRDefault="00513121" w:rsidP="00513121">
      <w:pPr>
        <w:widowControl/>
        <w:suppressAutoHyphens w:val="0"/>
        <w:autoSpaceDE w:val="0"/>
        <w:autoSpaceDN w:val="0"/>
        <w:adjustRightInd w:val="0"/>
        <w:jc w:val="both"/>
        <w:rPr>
          <w:rFonts w:ascii="Arial" w:hAnsi="Arial" w:cs="Arial"/>
        </w:rPr>
      </w:pP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xml:space="preserve">5.1. Решение об условиях приватизации конкретного объекта муниципального имущества Кандалакшского района принимается в соответствии с </w:t>
      </w:r>
      <w:hyperlink r:id="rId9" w:history="1">
        <w:r w:rsidRPr="00F61D06">
          <w:rPr>
            <w:rFonts w:ascii="Arial" w:hAnsi="Arial" w:cs="Arial"/>
          </w:rPr>
          <w:t>Положением</w:t>
        </w:r>
      </w:hyperlink>
      <w:r w:rsidRPr="00F61D06">
        <w:rPr>
          <w:rFonts w:ascii="Arial" w:hAnsi="Arial" w:cs="Arial"/>
        </w:rPr>
        <w:t xml:space="preserve"> о порядке и условиях приватизации муниципального имущества сельского поселения Алакуртти Кандалакшского района, утвержденным решением Совета депутатов сельского поселения Алакуртти Кандалакшского района.</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5.2. Решение должно содержать следующие сведения:</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наименование имущества и иные данные, позволяющие его индивидуализировать (характеристика имущества);</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xml:space="preserve">- способ приватизации имущества, начальная цена подлежащего приватизации имущества, устанавливаемая в случаях, предусмотренных Федеральным </w:t>
      </w:r>
      <w:hyperlink r:id="rId10" w:history="1">
        <w:r w:rsidRPr="00F61D06">
          <w:rPr>
            <w:rFonts w:ascii="Arial" w:hAnsi="Arial" w:cs="Arial"/>
          </w:rPr>
          <w:t>законом</w:t>
        </w:r>
      </w:hyperlink>
      <w:r w:rsidRPr="00F61D06">
        <w:rPr>
          <w:rFonts w:ascii="Arial" w:hAnsi="Arial" w:cs="Arial"/>
        </w:rPr>
        <w:t xml:space="preserve"> о приватизации;</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срок рассрочки платежа (в случае ее предоставления в соответствии с законодательством Российской Федерации);</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 иные необходимые для приватизации сведения.</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5.3. Решение о способе приватизации муниципального имущества принимается администрацией сельского поселения Алакуртти Кандалакшского района.</w:t>
      </w:r>
    </w:p>
    <w:p w:rsidR="00513121" w:rsidRPr="00F61D06" w:rsidRDefault="00513121" w:rsidP="00513121">
      <w:pPr>
        <w:widowControl/>
        <w:suppressAutoHyphens w:val="0"/>
        <w:autoSpaceDE w:val="0"/>
        <w:autoSpaceDN w:val="0"/>
        <w:adjustRightInd w:val="0"/>
        <w:ind w:firstLine="540"/>
        <w:jc w:val="both"/>
        <w:rPr>
          <w:rFonts w:ascii="Arial" w:hAnsi="Arial" w:cs="Arial"/>
        </w:rPr>
      </w:pPr>
      <w:r w:rsidRPr="00F61D06">
        <w:rPr>
          <w:rFonts w:ascii="Arial" w:hAnsi="Arial" w:cs="Arial"/>
        </w:rPr>
        <w:t>5.4. Для подготовки решений об условиях приватизации муниципального имущества администрация сельского поселения Алакуртти Кандалакшского района создает комиссию по приватизации муниципального имущества и устанавливает срок подготовки документов по каждому объекту.</w:t>
      </w:r>
    </w:p>
    <w:p w:rsidR="00D1462E" w:rsidRPr="00F61D06" w:rsidRDefault="00513121" w:rsidP="00AC7FE9">
      <w:pPr>
        <w:jc w:val="both"/>
        <w:rPr>
          <w:rFonts w:ascii="Arial" w:hAnsi="Arial" w:cs="Arial"/>
        </w:rPr>
      </w:pPr>
      <w:r w:rsidRPr="00F61D06">
        <w:rPr>
          <w:rFonts w:ascii="Arial" w:hAnsi="Arial" w:cs="Arial"/>
        </w:rPr>
        <w:t>В состав комиссии входят представители администрации сельского поселения Алакуртти Кандалакшского района и Совета депутатов сельского поселения Алакуртти Кандалакшского района (по согласованию), в случае необходимости - иные представители.</w:t>
      </w:r>
    </w:p>
    <w:sectPr w:rsidR="00D1462E" w:rsidRPr="00F6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CC"/>
    <w:rsid w:val="002D36A1"/>
    <w:rsid w:val="0037127C"/>
    <w:rsid w:val="00513121"/>
    <w:rsid w:val="00515547"/>
    <w:rsid w:val="008302CC"/>
    <w:rsid w:val="00AC7FE9"/>
    <w:rsid w:val="00D1462E"/>
    <w:rsid w:val="00D56458"/>
    <w:rsid w:val="00F6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A1"/>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2D36A1"/>
    <w:pPr>
      <w:ind w:firstLine="567"/>
      <w:jc w:val="center"/>
    </w:pPr>
  </w:style>
  <w:style w:type="table" w:styleId="a3">
    <w:name w:val="Table Grid"/>
    <w:basedOn w:val="a1"/>
    <w:uiPriority w:val="59"/>
    <w:rsid w:val="002D3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36A1"/>
    <w:rPr>
      <w:rFonts w:ascii="Tahoma" w:hAnsi="Tahoma" w:cs="Tahoma"/>
      <w:sz w:val="16"/>
      <w:szCs w:val="16"/>
    </w:rPr>
  </w:style>
  <w:style w:type="character" w:customStyle="1" w:styleId="a5">
    <w:name w:val="Текст выноски Знак"/>
    <w:basedOn w:val="a0"/>
    <w:link w:val="a4"/>
    <w:uiPriority w:val="99"/>
    <w:semiHidden/>
    <w:rsid w:val="002D36A1"/>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A1"/>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2D36A1"/>
    <w:pPr>
      <w:ind w:firstLine="567"/>
      <w:jc w:val="center"/>
    </w:pPr>
  </w:style>
  <w:style w:type="table" w:styleId="a3">
    <w:name w:val="Table Grid"/>
    <w:basedOn w:val="a1"/>
    <w:uiPriority w:val="59"/>
    <w:rsid w:val="002D3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36A1"/>
    <w:rPr>
      <w:rFonts w:ascii="Tahoma" w:hAnsi="Tahoma" w:cs="Tahoma"/>
      <w:sz w:val="16"/>
      <w:szCs w:val="16"/>
    </w:rPr>
  </w:style>
  <w:style w:type="character" w:customStyle="1" w:styleId="a5">
    <w:name w:val="Текст выноски Знак"/>
    <w:basedOn w:val="a0"/>
    <w:link w:val="a4"/>
    <w:uiPriority w:val="99"/>
    <w:semiHidden/>
    <w:rsid w:val="002D36A1"/>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5392">
      <w:bodyDiv w:val="1"/>
      <w:marLeft w:val="0"/>
      <w:marRight w:val="0"/>
      <w:marTop w:val="0"/>
      <w:marBottom w:val="0"/>
      <w:divBdr>
        <w:top w:val="none" w:sz="0" w:space="0" w:color="auto"/>
        <w:left w:val="none" w:sz="0" w:space="0" w:color="auto"/>
        <w:bottom w:val="none" w:sz="0" w:space="0" w:color="auto"/>
        <w:right w:val="none" w:sz="0" w:space="0" w:color="auto"/>
      </w:divBdr>
    </w:div>
    <w:div w:id="1145926535">
      <w:bodyDiv w:val="1"/>
      <w:marLeft w:val="0"/>
      <w:marRight w:val="0"/>
      <w:marTop w:val="0"/>
      <w:marBottom w:val="0"/>
      <w:divBdr>
        <w:top w:val="none" w:sz="0" w:space="0" w:color="auto"/>
        <w:left w:val="none" w:sz="0" w:space="0" w:color="auto"/>
        <w:bottom w:val="none" w:sz="0" w:space="0" w:color="auto"/>
        <w:right w:val="none" w:sz="0" w:space="0" w:color="auto"/>
      </w:divBdr>
    </w:div>
    <w:div w:id="1552695196">
      <w:bodyDiv w:val="1"/>
      <w:marLeft w:val="0"/>
      <w:marRight w:val="0"/>
      <w:marTop w:val="0"/>
      <w:marBottom w:val="0"/>
      <w:divBdr>
        <w:top w:val="none" w:sz="0" w:space="0" w:color="auto"/>
        <w:left w:val="none" w:sz="0" w:space="0" w:color="auto"/>
        <w:bottom w:val="none" w:sz="0" w:space="0" w:color="auto"/>
        <w:right w:val="none" w:sz="0" w:space="0" w:color="auto"/>
      </w:divBdr>
    </w:div>
    <w:div w:id="1776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DA778F165B855DC5CE819F2ABE73DF1025D5D649EEB875A3B42298D20U5L" TargetMode="External"/><Relationship Id="rId3" Type="http://schemas.openxmlformats.org/officeDocument/2006/relationships/settings" Target="settings.xml"/><Relationship Id="rId7" Type="http://schemas.openxmlformats.org/officeDocument/2006/relationships/hyperlink" Target="consultantplus://offline/ref=241DA778F165B855DC5CE819F2ABE73DF1025D5C629BEB875A3B42298D20U5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1DA778F165B855DC5CE819F2ABE73DF1025D546492EB875A3B42298D05921D48EFF5E4532F501E2EUF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41DA778F165B855DC5CE819F2ABE73DF1025D546492EB875A3B42298D20U5L" TargetMode="External"/><Relationship Id="rId4" Type="http://schemas.openxmlformats.org/officeDocument/2006/relationships/webSettings" Target="webSettings.xml"/><Relationship Id="rId9" Type="http://schemas.openxmlformats.org/officeDocument/2006/relationships/hyperlink" Target="consultantplus://offline/ref=241DA778F165B855DC5CF614E4C7B938F4090358609EE1D207641974DA0C984A0FA0ACA61722501DE76FDC2C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10</cp:revision>
  <cp:lastPrinted>2019-10-01T12:39:00Z</cp:lastPrinted>
  <dcterms:created xsi:type="dcterms:W3CDTF">2019-09-27T11:03:00Z</dcterms:created>
  <dcterms:modified xsi:type="dcterms:W3CDTF">2019-10-01T12:41:00Z</dcterms:modified>
</cp:coreProperties>
</file>