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F" w:rsidRPr="00725A9C" w:rsidRDefault="002F24B5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УТВЕРЖДАЮ</w:t>
      </w:r>
    </w:p>
    <w:p w:rsidR="002F24B5" w:rsidRPr="00725A9C" w:rsidRDefault="002F24B5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«</w:t>
      </w:r>
      <w:r w:rsidR="007E435E">
        <w:rPr>
          <w:rFonts w:ascii="Times New Roman" w:hAnsi="Times New Roman" w:cs="Times New Roman"/>
        </w:rPr>
        <w:t>2</w:t>
      </w:r>
      <w:r w:rsidR="006B6B0A">
        <w:rPr>
          <w:rFonts w:ascii="Times New Roman" w:hAnsi="Times New Roman" w:cs="Times New Roman"/>
        </w:rPr>
        <w:t>4</w:t>
      </w:r>
      <w:r w:rsidRPr="00725A9C">
        <w:rPr>
          <w:rFonts w:ascii="Times New Roman" w:hAnsi="Times New Roman" w:cs="Times New Roman"/>
        </w:rPr>
        <w:t>» января 202</w:t>
      </w:r>
      <w:r w:rsidR="006B6B0A">
        <w:rPr>
          <w:rFonts w:ascii="Times New Roman" w:hAnsi="Times New Roman" w:cs="Times New Roman"/>
        </w:rPr>
        <w:t>4</w:t>
      </w:r>
      <w:r w:rsidRPr="00725A9C">
        <w:rPr>
          <w:rFonts w:ascii="Times New Roman" w:hAnsi="Times New Roman" w:cs="Times New Roman"/>
        </w:rPr>
        <w:t xml:space="preserve"> г</w:t>
      </w:r>
    </w:p>
    <w:p w:rsidR="00603A04" w:rsidRPr="00821FCD" w:rsidRDefault="00603A04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___________________</w:t>
      </w:r>
      <w:r w:rsidR="006B6B0A">
        <w:rPr>
          <w:rFonts w:ascii="Times New Roman" w:hAnsi="Times New Roman" w:cs="Times New Roman"/>
        </w:rPr>
        <w:t>О.А. Колина</w:t>
      </w:r>
    </w:p>
    <w:p w:rsidR="00F72960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72F77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 xml:space="preserve">об антимонопольном </w:t>
      </w:r>
      <w:proofErr w:type="spellStart"/>
      <w:r w:rsidRPr="00821FCD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821FCD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Алакуртти</w:t>
      </w:r>
    </w:p>
    <w:p w:rsidR="00072F77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>за 20</w:t>
      </w:r>
      <w:r w:rsidR="00A80FA9">
        <w:rPr>
          <w:rFonts w:ascii="Times New Roman" w:hAnsi="Times New Roman" w:cs="Times New Roman"/>
          <w:b/>
          <w:sz w:val="24"/>
          <w:szCs w:val="24"/>
        </w:rPr>
        <w:t>2</w:t>
      </w:r>
      <w:r w:rsidR="006B6B0A">
        <w:rPr>
          <w:rFonts w:ascii="Times New Roman" w:hAnsi="Times New Roman" w:cs="Times New Roman"/>
          <w:b/>
          <w:sz w:val="24"/>
          <w:szCs w:val="24"/>
        </w:rPr>
        <w:t>3</w:t>
      </w:r>
      <w:r w:rsidRPr="00821F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72F77" w:rsidRPr="00821FCD" w:rsidRDefault="00072F77">
      <w:pPr>
        <w:rPr>
          <w:rFonts w:ascii="Times New Roman" w:hAnsi="Times New Roman" w:cs="Times New Roman"/>
        </w:rPr>
      </w:pPr>
    </w:p>
    <w:p w:rsidR="00072F77" w:rsidRPr="002F24B5" w:rsidRDefault="00072F77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b/>
        </w:rPr>
      </w:pPr>
      <w:r w:rsidRPr="002F24B5">
        <w:rPr>
          <w:rFonts w:ascii="Times New Roman" w:hAnsi="Times New Roman" w:cs="Times New Roman"/>
          <w:b/>
        </w:rPr>
        <w:t>1. Общие положения</w:t>
      </w:r>
    </w:p>
    <w:p w:rsidR="00072F77" w:rsidRPr="00821FCD" w:rsidRDefault="00673FEE" w:rsidP="00725A9C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</w:t>
      </w:r>
      <w:r w:rsidR="00725A9C" w:rsidRPr="00725A9C">
        <w:rPr>
          <w:rFonts w:ascii="Times New Roman" w:hAnsi="Times New Roman" w:cs="Times New Roman"/>
        </w:rPr>
        <w:t xml:space="preserve"> Указа Президента Российской Федерации от 21 декабря 2017</w:t>
      </w:r>
      <w:r w:rsidR="00725A9C">
        <w:rPr>
          <w:rFonts w:ascii="Times New Roman" w:hAnsi="Times New Roman" w:cs="Times New Roman"/>
        </w:rPr>
        <w:t xml:space="preserve"> </w:t>
      </w:r>
      <w:r w:rsidR="00725A9C" w:rsidRPr="00725A9C">
        <w:rPr>
          <w:rFonts w:ascii="Times New Roman" w:hAnsi="Times New Roman" w:cs="Times New Roman"/>
        </w:rPr>
        <w:t>года № 618 «Об основных направлениях государственной политики по развитию</w:t>
      </w:r>
      <w:r w:rsidR="00725A9C">
        <w:rPr>
          <w:rFonts w:ascii="Times New Roman" w:hAnsi="Times New Roman" w:cs="Times New Roman"/>
        </w:rPr>
        <w:t xml:space="preserve"> </w:t>
      </w:r>
      <w:r w:rsidR="00725A9C" w:rsidRPr="00725A9C">
        <w:rPr>
          <w:rFonts w:ascii="Times New Roman" w:hAnsi="Times New Roman" w:cs="Times New Roman"/>
        </w:rPr>
        <w:t xml:space="preserve">конкуренции», </w:t>
      </w:r>
      <w:r w:rsidR="00072F77" w:rsidRPr="00821FCD">
        <w:rPr>
          <w:rFonts w:ascii="Times New Roman" w:hAnsi="Times New Roman" w:cs="Times New Roman"/>
        </w:rPr>
        <w:t xml:space="preserve">постановления Правительства Мурманской области от 19.02.2019 г. №61-ПП «О системе внутреннего обеспечения соответствия требованиям антимонопольного законодательства деятельности исполнительных органов государственной власти Мурманской области» (далее – постановление № 61-ПП) и с </w:t>
      </w:r>
      <w:r w:rsidR="008B75CF" w:rsidRPr="00821FCD">
        <w:rPr>
          <w:rFonts w:ascii="Times New Roman" w:hAnsi="Times New Roman" w:cs="Times New Roman"/>
        </w:rPr>
        <w:t>целью организации системы внутреннего обеспечения соответствия требованиям антимонопольного законодательства в администрации сельского</w:t>
      </w:r>
      <w:proofErr w:type="gramEnd"/>
      <w:r w:rsidR="008B75CF" w:rsidRPr="00821FCD">
        <w:rPr>
          <w:rFonts w:ascii="Times New Roman" w:hAnsi="Times New Roman" w:cs="Times New Roman"/>
        </w:rPr>
        <w:t xml:space="preserve"> поселения Алакуртти</w:t>
      </w:r>
      <w:r w:rsidR="002F24B5">
        <w:rPr>
          <w:rFonts w:ascii="Times New Roman" w:hAnsi="Times New Roman" w:cs="Times New Roman"/>
        </w:rPr>
        <w:t xml:space="preserve"> </w:t>
      </w:r>
      <w:r w:rsidR="008B75CF" w:rsidRPr="00821FCD">
        <w:rPr>
          <w:rFonts w:ascii="Times New Roman" w:hAnsi="Times New Roman" w:cs="Times New Roman"/>
        </w:rPr>
        <w:t xml:space="preserve">Кандалакшского </w:t>
      </w:r>
      <w:r w:rsidR="00725A9C">
        <w:rPr>
          <w:rFonts w:ascii="Times New Roman" w:hAnsi="Times New Roman" w:cs="Times New Roman"/>
        </w:rPr>
        <w:t xml:space="preserve">муниципального </w:t>
      </w:r>
      <w:r w:rsidR="008B75CF" w:rsidRPr="00821FCD">
        <w:rPr>
          <w:rFonts w:ascii="Times New Roman" w:hAnsi="Times New Roman" w:cs="Times New Roman"/>
        </w:rPr>
        <w:t xml:space="preserve">района (далее – Администрация) постановлением Администрации от 07.05.2019 г. № 49 утверждено 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8B75CF" w:rsidRPr="00821FCD">
        <w:rPr>
          <w:rFonts w:ascii="Times New Roman" w:hAnsi="Times New Roman" w:cs="Times New Roman"/>
        </w:rPr>
        <w:t>комплаенс</w:t>
      </w:r>
      <w:proofErr w:type="spellEnd"/>
      <w:r w:rsidR="008B75CF" w:rsidRPr="00821FCD">
        <w:rPr>
          <w:rFonts w:ascii="Times New Roman" w:hAnsi="Times New Roman" w:cs="Times New Roman"/>
        </w:rPr>
        <w:t xml:space="preserve">) (далее – Положение </w:t>
      </w:r>
      <w:proofErr w:type="gramStart"/>
      <w:r w:rsidR="008B75CF" w:rsidRPr="00821FCD">
        <w:rPr>
          <w:rFonts w:ascii="Times New Roman" w:hAnsi="Times New Roman" w:cs="Times New Roman"/>
        </w:rPr>
        <w:t>об</w:t>
      </w:r>
      <w:proofErr w:type="gramEnd"/>
      <w:r w:rsidR="008B75CF" w:rsidRPr="00821FCD">
        <w:rPr>
          <w:rFonts w:ascii="Times New Roman" w:hAnsi="Times New Roman" w:cs="Times New Roman"/>
        </w:rPr>
        <w:t xml:space="preserve"> антимонопольном </w:t>
      </w:r>
      <w:proofErr w:type="spellStart"/>
      <w:r w:rsidR="008B75CF" w:rsidRPr="00821FCD">
        <w:rPr>
          <w:rFonts w:ascii="Times New Roman" w:hAnsi="Times New Roman" w:cs="Times New Roman"/>
        </w:rPr>
        <w:t>комплаенсе</w:t>
      </w:r>
      <w:proofErr w:type="spellEnd"/>
      <w:r w:rsidR="008B75CF" w:rsidRPr="00821FCD">
        <w:rPr>
          <w:rFonts w:ascii="Times New Roman" w:hAnsi="Times New Roman" w:cs="Times New Roman"/>
        </w:rPr>
        <w:t>).</w:t>
      </w:r>
    </w:p>
    <w:p w:rsidR="00072F77" w:rsidRPr="00821FCD" w:rsidRDefault="008B75CF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Положение об антимонопольном </w:t>
      </w:r>
      <w:proofErr w:type="spellStart"/>
      <w:r w:rsidRPr="00821FCD">
        <w:rPr>
          <w:rFonts w:ascii="Times New Roman" w:hAnsi="Times New Roman" w:cs="Times New Roman"/>
        </w:rPr>
        <w:t>комплаенсе</w:t>
      </w:r>
      <w:proofErr w:type="spellEnd"/>
      <w:r w:rsidRPr="00821FCD">
        <w:rPr>
          <w:rFonts w:ascii="Times New Roman" w:hAnsi="Times New Roman" w:cs="Times New Roman"/>
        </w:rPr>
        <w:t xml:space="preserve"> размещено на официальном сайте Администрации в разделе «Документы».</w:t>
      </w:r>
    </w:p>
    <w:p w:rsidR="008B75CF" w:rsidRPr="00673FEE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b/>
        </w:rPr>
      </w:pPr>
      <w:r w:rsidRPr="00673FEE">
        <w:rPr>
          <w:rFonts w:ascii="Times New Roman" w:hAnsi="Times New Roman" w:cs="Times New Roman"/>
          <w:b/>
        </w:rPr>
        <w:t xml:space="preserve">2. Информация о проведенных мероприятиях по внедрению </w:t>
      </w:r>
      <w:proofErr w:type="gramStart"/>
      <w:r w:rsidRPr="00673FEE">
        <w:rPr>
          <w:rFonts w:ascii="Times New Roman" w:hAnsi="Times New Roman" w:cs="Times New Roman"/>
          <w:b/>
        </w:rPr>
        <w:t>антимонопольного</w:t>
      </w:r>
      <w:proofErr w:type="gramEnd"/>
      <w:r w:rsidRPr="00673FEE">
        <w:rPr>
          <w:rFonts w:ascii="Times New Roman" w:hAnsi="Times New Roman" w:cs="Times New Roman"/>
          <w:b/>
        </w:rPr>
        <w:t xml:space="preserve"> </w:t>
      </w:r>
      <w:proofErr w:type="spellStart"/>
      <w:r w:rsidRPr="00673FEE">
        <w:rPr>
          <w:rFonts w:ascii="Times New Roman" w:hAnsi="Times New Roman" w:cs="Times New Roman"/>
          <w:b/>
        </w:rPr>
        <w:t>комплаенса</w:t>
      </w:r>
      <w:proofErr w:type="spellEnd"/>
      <w:r w:rsidRPr="00673FEE">
        <w:rPr>
          <w:rFonts w:ascii="Times New Roman" w:hAnsi="Times New Roman" w:cs="Times New Roman"/>
          <w:b/>
        </w:rPr>
        <w:t xml:space="preserve"> в Администрации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В целях выявления и оценки рисков нарушения антимонопольного законодательства в Администрации осуществлен комплекс мероприятий, предусмотренных Положением об антимонопольном законодательстве, в том числе: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а) проанализирована информация о выявленных нарушениях антимонопольного законодательства в деятельности Администрации за предыдущи</w:t>
      </w:r>
      <w:r w:rsidR="00673FEE">
        <w:rPr>
          <w:rFonts w:ascii="Times New Roman" w:hAnsi="Times New Roman" w:cs="Times New Roman"/>
        </w:rPr>
        <w:t>й</w:t>
      </w:r>
      <w:r w:rsidRPr="00821FCD">
        <w:rPr>
          <w:rFonts w:ascii="Times New Roman" w:hAnsi="Times New Roman" w:cs="Times New Roman"/>
        </w:rPr>
        <w:t xml:space="preserve"> </w:t>
      </w:r>
      <w:r w:rsidR="00673FEE">
        <w:rPr>
          <w:rFonts w:ascii="Times New Roman" w:hAnsi="Times New Roman" w:cs="Times New Roman"/>
        </w:rPr>
        <w:t>202</w:t>
      </w:r>
      <w:r w:rsidR="006B6B0A">
        <w:rPr>
          <w:rFonts w:ascii="Times New Roman" w:hAnsi="Times New Roman" w:cs="Times New Roman"/>
        </w:rPr>
        <w:t>3</w:t>
      </w:r>
      <w:r w:rsidR="00673FEE">
        <w:rPr>
          <w:rFonts w:ascii="Times New Roman" w:hAnsi="Times New Roman" w:cs="Times New Roman"/>
        </w:rPr>
        <w:t xml:space="preserve"> год</w:t>
      </w:r>
      <w:r w:rsidRPr="00821FCD">
        <w:rPr>
          <w:rFonts w:ascii="Times New Roman" w:hAnsi="Times New Roman" w:cs="Times New Roman"/>
        </w:rPr>
        <w:t>, о наличии предостережений, предупреждений, штрафов, жалоб, возбужденных дел;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б) проведен анализ действующих нормативных правовых актов Администрации и проектов нормативных правовых актов, изданных в 20</w:t>
      </w:r>
      <w:r w:rsidR="002B7CBA">
        <w:rPr>
          <w:rFonts w:ascii="Times New Roman" w:hAnsi="Times New Roman" w:cs="Times New Roman"/>
        </w:rPr>
        <w:t>2</w:t>
      </w:r>
      <w:r w:rsidR="006B6B0A">
        <w:rPr>
          <w:rFonts w:ascii="Times New Roman" w:hAnsi="Times New Roman" w:cs="Times New Roman"/>
        </w:rPr>
        <w:t>3</w:t>
      </w:r>
      <w:r w:rsidRPr="00821FCD">
        <w:rPr>
          <w:rFonts w:ascii="Times New Roman" w:hAnsi="Times New Roman" w:cs="Times New Roman"/>
        </w:rPr>
        <w:t xml:space="preserve"> году на предмет их соответствия антимонопольному законодательству;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в) проанализирована практика применения в Администрации антимонопольного законодательства;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д) проведение оценки эффективности разработанных и реализуемых мероприятий по снижению рисков нарушения ан</w:t>
      </w:r>
      <w:r w:rsidR="001E1DDA" w:rsidRPr="00821FCD">
        <w:rPr>
          <w:rFonts w:ascii="Times New Roman" w:hAnsi="Times New Roman" w:cs="Times New Roman"/>
        </w:rPr>
        <w:t>тимонопольного законодательства;</w:t>
      </w:r>
    </w:p>
    <w:p w:rsidR="004A42EC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е</w:t>
      </w:r>
      <w:r w:rsidR="004A42EC" w:rsidRPr="00821FCD">
        <w:rPr>
          <w:rFonts w:ascii="Times New Roman" w:hAnsi="Times New Roman" w:cs="Times New Roman"/>
        </w:rPr>
        <w:t xml:space="preserve">) проанализированы возможные </w:t>
      </w:r>
      <w:proofErr w:type="spellStart"/>
      <w:r w:rsidR="004A42EC" w:rsidRPr="00821FCD">
        <w:rPr>
          <w:rFonts w:ascii="Times New Roman" w:hAnsi="Times New Roman" w:cs="Times New Roman"/>
        </w:rPr>
        <w:t>комплаенс</w:t>
      </w:r>
      <w:proofErr w:type="spellEnd"/>
      <w:r w:rsidR="004A42EC" w:rsidRPr="00821FCD">
        <w:rPr>
          <w:rFonts w:ascii="Times New Roman" w:hAnsi="Times New Roman" w:cs="Times New Roman"/>
        </w:rPr>
        <w:t>-риски в деятельности Администрации, причины и условия их возникновения, предложения по их минимизации и устранению</w:t>
      </w:r>
      <w:r w:rsidRPr="00821FCD">
        <w:rPr>
          <w:rFonts w:ascii="Times New Roman" w:hAnsi="Times New Roman" w:cs="Times New Roman"/>
        </w:rPr>
        <w:t>;</w:t>
      </w:r>
    </w:p>
    <w:p w:rsidR="001E1DDA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ж) разработана и утверждена карта (паспорт)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-рисков Администрации.</w:t>
      </w:r>
    </w:p>
    <w:p w:rsidR="001E1DDA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2.1. По результатам анализа нарушений антимонопольного законодательства в деятельности Администрации за предыдущи</w:t>
      </w:r>
      <w:r w:rsidR="00673FEE">
        <w:rPr>
          <w:rFonts w:ascii="Times New Roman" w:hAnsi="Times New Roman" w:cs="Times New Roman"/>
        </w:rPr>
        <w:t>й</w:t>
      </w:r>
      <w:r w:rsidRPr="00821FCD">
        <w:rPr>
          <w:rFonts w:ascii="Times New Roman" w:hAnsi="Times New Roman" w:cs="Times New Roman"/>
        </w:rPr>
        <w:t xml:space="preserve"> </w:t>
      </w:r>
      <w:r w:rsidR="00673FEE">
        <w:rPr>
          <w:rFonts w:ascii="Times New Roman" w:hAnsi="Times New Roman" w:cs="Times New Roman"/>
        </w:rPr>
        <w:t>202</w:t>
      </w:r>
      <w:r w:rsidR="006B6B0A">
        <w:rPr>
          <w:rFonts w:ascii="Times New Roman" w:hAnsi="Times New Roman" w:cs="Times New Roman"/>
        </w:rPr>
        <w:t>3</w:t>
      </w:r>
      <w:r w:rsidR="00673FEE">
        <w:rPr>
          <w:rFonts w:ascii="Times New Roman" w:hAnsi="Times New Roman" w:cs="Times New Roman"/>
        </w:rPr>
        <w:t xml:space="preserve"> год</w:t>
      </w:r>
      <w:r w:rsidRPr="00821FCD">
        <w:rPr>
          <w:rFonts w:ascii="Times New Roman" w:hAnsi="Times New Roman" w:cs="Times New Roman"/>
        </w:rPr>
        <w:t xml:space="preserve"> нарушения антимонопольного законодательства</w:t>
      </w:r>
      <w:r w:rsidR="00673FEE">
        <w:rPr>
          <w:rFonts w:ascii="Times New Roman" w:hAnsi="Times New Roman" w:cs="Times New Roman"/>
        </w:rPr>
        <w:t xml:space="preserve"> не выявлены.</w:t>
      </w:r>
    </w:p>
    <w:p w:rsidR="00556BAB" w:rsidRPr="00821FCD" w:rsidRDefault="00673FEE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202</w:t>
      </w:r>
      <w:r w:rsidR="006B6B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 w:rsidR="0072754A" w:rsidRPr="005030B7">
        <w:rPr>
          <w:rFonts w:ascii="Times New Roman" w:hAnsi="Times New Roman" w:cs="Times New Roman"/>
        </w:rPr>
        <w:t xml:space="preserve"> в отношении А</w:t>
      </w:r>
      <w:r w:rsidR="005030B7" w:rsidRPr="005030B7">
        <w:rPr>
          <w:rFonts w:ascii="Times New Roman" w:hAnsi="Times New Roman" w:cs="Times New Roman"/>
        </w:rPr>
        <w:t>дминистрации жалоб</w:t>
      </w:r>
      <w:r w:rsidR="0072754A" w:rsidRPr="005030B7">
        <w:rPr>
          <w:rFonts w:ascii="Times New Roman" w:hAnsi="Times New Roman" w:cs="Times New Roman"/>
        </w:rPr>
        <w:t xml:space="preserve"> по делам о нарушении антимонопольного законодательства</w:t>
      </w:r>
      <w:r w:rsidR="005030B7" w:rsidRPr="005030B7">
        <w:rPr>
          <w:rFonts w:ascii="Times New Roman" w:hAnsi="Times New Roman" w:cs="Times New Roman"/>
        </w:rPr>
        <w:t xml:space="preserve"> не было</w:t>
      </w:r>
      <w:r w:rsidR="0072754A" w:rsidRPr="005030B7">
        <w:rPr>
          <w:rFonts w:ascii="Times New Roman" w:hAnsi="Times New Roman" w:cs="Times New Roman"/>
        </w:rPr>
        <w:t xml:space="preserve">. </w:t>
      </w:r>
      <w:r w:rsidR="00556BAB" w:rsidRPr="005030B7">
        <w:rPr>
          <w:rFonts w:ascii="Times New Roman" w:hAnsi="Times New Roman" w:cs="Times New Roman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335526" w:rsidRPr="00821FCD" w:rsidRDefault="00556BAB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2.2. </w:t>
      </w:r>
      <w:r w:rsidR="00F12CD5" w:rsidRPr="00821FCD">
        <w:rPr>
          <w:rFonts w:ascii="Times New Roman" w:hAnsi="Times New Roman" w:cs="Times New Roman"/>
        </w:rPr>
        <w:t xml:space="preserve">Во исполнение пункта 3.1. </w:t>
      </w:r>
      <w:proofErr w:type="gramStart"/>
      <w:r w:rsidR="00F12CD5" w:rsidRPr="00821FCD">
        <w:rPr>
          <w:rFonts w:ascii="Times New Roman" w:hAnsi="Times New Roman" w:cs="Times New Roman"/>
        </w:rPr>
        <w:t xml:space="preserve">Положения об антимонопольном </w:t>
      </w:r>
      <w:proofErr w:type="spellStart"/>
      <w:r w:rsidR="00F12CD5" w:rsidRPr="00821FCD">
        <w:rPr>
          <w:rFonts w:ascii="Times New Roman" w:hAnsi="Times New Roman" w:cs="Times New Roman"/>
        </w:rPr>
        <w:t>комплаенсе</w:t>
      </w:r>
      <w:proofErr w:type="spellEnd"/>
      <w:r w:rsidR="00F12CD5" w:rsidRPr="00821FCD">
        <w:rPr>
          <w:rFonts w:ascii="Times New Roman" w:hAnsi="Times New Roman" w:cs="Times New Roman"/>
        </w:rPr>
        <w:t xml:space="preserve"> осуществлен сбор и анализ нормативных правовых актов Администрации на предмет вероятности наступления при их реализации неблагоприятных последствий в виде недопущения, ограничения или устранения конкуренции (</w:t>
      </w:r>
      <w:proofErr w:type="spellStart"/>
      <w:r w:rsidR="00F12CD5" w:rsidRPr="00821FCD">
        <w:rPr>
          <w:rFonts w:ascii="Times New Roman" w:hAnsi="Times New Roman" w:cs="Times New Roman"/>
        </w:rPr>
        <w:t>комплаенс</w:t>
      </w:r>
      <w:proofErr w:type="spellEnd"/>
      <w:r w:rsidR="00F12CD5" w:rsidRPr="00821FCD">
        <w:rPr>
          <w:rFonts w:ascii="Times New Roman" w:hAnsi="Times New Roman" w:cs="Times New Roman"/>
        </w:rPr>
        <w:t xml:space="preserve">-риски) вследствие нарушения антимонопольного законодательства. </w:t>
      </w:r>
      <w:proofErr w:type="gramEnd"/>
    </w:p>
    <w:p w:rsidR="00335526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При проведении ежегодного анализа действующих нормативных правовых актов на предмет выявления рисков нарушения антимонопольного законодательства </w:t>
      </w:r>
      <w:r w:rsidRPr="0059652A">
        <w:rPr>
          <w:rFonts w:ascii="Times New Roman" w:hAnsi="Times New Roman" w:cs="Times New Roman"/>
        </w:rPr>
        <w:t xml:space="preserve">реализованы мероприятия в виде уведомления о проведении публичных консультаций посредством сбора замечаний и предложений </w:t>
      </w:r>
      <w:r w:rsidRPr="0059652A">
        <w:rPr>
          <w:rFonts w:ascii="Times New Roman" w:hAnsi="Times New Roman" w:cs="Times New Roman"/>
        </w:rPr>
        <w:lastRenderedPageBreak/>
        <w:t>организаций и граждан в рамках анализа действующих нормативных правовых актов на предмет их влияния на конкуренцию.</w:t>
      </w:r>
    </w:p>
    <w:p w:rsidR="00AB364F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При проведении анализа проектов нормативных актов, разрабатываемых Администрацией, было осуществлено рассмотрение проектов на их соответствие требованиям антимонопольного законодательства. </w:t>
      </w:r>
      <w:r w:rsidR="00556BAB" w:rsidRPr="00821FCD">
        <w:rPr>
          <w:rFonts w:ascii="Times New Roman" w:hAnsi="Times New Roman" w:cs="Times New Roman"/>
        </w:rPr>
        <w:t xml:space="preserve">По итогам </w:t>
      </w:r>
      <w:r w:rsidR="00943BC0">
        <w:rPr>
          <w:rFonts w:ascii="Times New Roman" w:hAnsi="Times New Roman" w:cs="Times New Roman"/>
        </w:rPr>
        <w:t xml:space="preserve"> </w:t>
      </w:r>
      <w:r w:rsidR="00556BAB" w:rsidRPr="00821FCD">
        <w:rPr>
          <w:rFonts w:ascii="Times New Roman" w:hAnsi="Times New Roman" w:cs="Times New Roman"/>
        </w:rPr>
        <w:t xml:space="preserve">проведенного анализа нормативных правовых актов (проектов нормативных правовых актов) </w:t>
      </w:r>
      <w:r w:rsidR="00F12CD5" w:rsidRPr="00821FCD">
        <w:rPr>
          <w:rFonts w:ascii="Times New Roman" w:hAnsi="Times New Roman" w:cs="Times New Roman"/>
        </w:rPr>
        <w:t>Администрацией</w:t>
      </w:r>
      <w:r w:rsidR="00556BAB" w:rsidRPr="00821FCD">
        <w:rPr>
          <w:rFonts w:ascii="Times New Roman" w:hAnsi="Times New Roman" w:cs="Times New Roman"/>
        </w:rPr>
        <w:t xml:space="preserve"> сделан вывод об их соответствии антимонопольному законодательству</w:t>
      </w:r>
      <w:r w:rsidR="00F12CD5" w:rsidRPr="00821FCD">
        <w:rPr>
          <w:rFonts w:ascii="Times New Roman" w:hAnsi="Times New Roman" w:cs="Times New Roman"/>
        </w:rPr>
        <w:t xml:space="preserve"> и</w:t>
      </w:r>
      <w:r w:rsidR="00556BAB" w:rsidRPr="00821FCD">
        <w:rPr>
          <w:rFonts w:ascii="Times New Roman" w:hAnsi="Times New Roman" w:cs="Times New Roman"/>
        </w:rPr>
        <w:t xml:space="preserve"> о нецелесообразности внесения изменений в действующие нормативные правовые акты</w:t>
      </w:r>
      <w:r w:rsidR="00F12CD5" w:rsidRPr="00821FCD">
        <w:rPr>
          <w:rFonts w:ascii="Times New Roman" w:hAnsi="Times New Roman" w:cs="Times New Roman"/>
        </w:rPr>
        <w:t xml:space="preserve">. </w:t>
      </w:r>
    </w:p>
    <w:p w:rsidR="001A1C17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2.3. При проведении мониторинга и анализа практики применения в Администрации антимонопольного законодательства</w:t>
      </w:r>
      <w:r w:rsidR="00FE0F3D" w:rsidRPr="00821FCD">
        <w:rPr>
          <w:rFonts w:ascii="Times New Roman" w:hAnsi="Times New Roman" w:cs="Times New Roman"/>
        </w:rPr>
        <w:t xml:space="preserve"> на постоянной основе реализуются мероприятия по сбору сведений </w:t>
      </w:r>
      <w:r w:rsidR="00943BC0">
        <w:rPr>
          <w:rFonts w:ascii="Times New Roman" w:hAnsi="Times New Roman" w:cs="Times New Roman"/>
        </w:rPr>
        <w:t>о правоприменительной практике А</w:t>
      </w:r>
      <w:r w:rsidR="00FE0F3D" w:rsidRPr="00821FCD">
        <w:rPr>
          <w:rFonts w:ascii="Times New Roman" w:hAnsi="Times New Roman" w:cs="Times New Roman"/>
        </w:rPr>
        <w:t xml:space="preserve">дминистрации и об изменениях и основных аспектах правоприменительной практики в Администрации, а также о проблемах </w:t>
      </w:r>
      <w:proofErr w:type="spellStart"/>
      <w:r w:rsidR="00FE0F3D" w:rsidRPr="00821FCD">
        <w:rPr>
          <w:rFonts w:ascii="Times New Roman" w:hAnsi="Times New Roman" w:cs="Times New Roman"/>
        </w:rPr>
        <w:t>правоприменения</w:t>
      </w:r>
      <w:proofErr w:type="spellEnd"/>
      <w:r w:rsidR="00FE0F3D" w:rsidRPr="00821FCD">
        <w:rPr>
          <w:rFonts w:ascii="Times New Roman" w:hAnsi="Times New Roman" w:cs="Times New Roman"/>
        </w:rPr>
        <w:t>.</w:t>
      </w:r>
      <w:r w:rsidR="001A1C17" w:rsidRPr="00821FCD">
        <w:rPr>
          <w:rFonts w:ascii="Times New Roman" w:hAnsi="Times New Roman" w:cs="Times New Roman"/>
        </w:rPr>
        <w:t xml:space="preserve"> Также в период планирования закупочной деятельности специалистами Администрации был проведен мониторинг и анализ практики применения антимонопольного законодательства, а именно: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 xml:space="preserve">База решений ФАС России: </w:t>
      </w:r>
      <w:hyperlink r:id="rId8" w:history="1">
        <w:r w:rsidR="00BD199A" w:rsidRPr="00586CD2">
          <w:rPr>
            <w:rStyle w:val="ae"/>
            <w:rFonts w:ascii="Times New Roman" w:hAnsi="Times New Roman" w:cs="Times New Roman"/>
          </w:rPr>
          <w:t>https://br.fas.gov.ru/</w:t>
        </w:r>
      </w:hyperlink>
      <w:r w:rsidR="001A1C17" w:rsidRPr="00821FCD">
        <w:rPr>
          <w:rFonts w:ascii="Times New Roman" w:hAnsi="Times New Roman" w:cs="Times New Roman"/>
        </w:rPr>
        <w:t>;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 xml:space="preserve">Белые и черные книги: </w:t>
      </w:r>
      <w:hyperlink r:id="rId9" w:history="1">
        <w:r w:rsidR="00BD199A" w:rsidRPr="00586CD2">
          <w:rPr>
            <w:rStyle w:val="ae"/>
            <w:rFonts w:ascii="Times New Roman" w:hAnsi="Times New Roman" w:cs="Times New Roman"/>
          </w:rPr>
          <w:t>https://fas.gov.ru/pages/vazhnaya-informacziya/otkryitoe-vedomstvo/belaya-i-chernaya-knigi.html</w:t>
        </w:r>
      </w:hyperlink>
      <w:r w:rsidR="001A1C17" w:rsidRPr="00821FCD">
        <w:rPr>
          <w:rFonts w:ascii="Times New Roman" w:hAnsi="Times New Roman" w:cs="Times New Roman"/>
        </w:rPr>
        <w:t>;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>Разъяснения Президиума ФАС России;</w:t>
      </w:r>
    </w:p>
    <w:p w:rsidR="00FE0F3D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>Видео обзоры судебных практик ФАС России.</w:t>
      </w:r>
    </w:p>
    <w:p w:rsidR="001A1C17" w:rsidRPr="0046268B" w:rsidRDefault="001A1C17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2.4. При </w:t>
      </w:r>
      <w:r w:rsidR="00943BC0">
        <w:rPr>
          <w:rFonts w:ascii="Times New Roman" w:hAnsi="Times New Roman" w:cs="Times New Roman"/>
        </w:rPr>
        <w:t xml:space="preserve">проведении </w:t>
      </w:r>
      <w:r w:rsidRPr="00821FCD">
        <w:rPr>
          <w:rFonts w:ascii="Times New Roman" w:hAnsi="Times New Roman" w:cs="Times New Roman"/>
        </w:rPr>
        <w:t>оценк</w:t>
      </w:r>
      <w:r w:rsidR="00943BC0">
        <w:rPr>
          <w:rFonts w:ascii="Times New Roman" w:hAnsi="Times New Roman" w:cs="Times New Roman"/>
        </w:rPr>
        <w:t>и</w:t>
      </w:r>
      <w:r w:rsidRPr="00821FCD">
        <w:rPr>
          <w:rFonts w:ascii="Times New Roman" w:hAnsi="Times New Roman" w:cs="Times New Roman"/>
        </w:rPr>
        <w:t xml:space="preserve"> эффективности разработанных и реализуемых мероприятий по снижению рисков нарушения антимонопольного законодательства</w:t>
      </w:r>
      <w:r w:rsidR="00AA44CC" w:rsidRPr="00821FCD">
        <w:rPr>
          <w:rFonts w:ascii="Times New Roman" w:hAnsi="Times New Roman" w:cs="Times New Roman"/>
        </w:rPr>
        <w:t xml:space="preserve"> в виде анализа нарушений антимонопольного законодательства в деятельности Администрации за </w:t>
      </w:r>
      <w:r w:rsidR="00673FEE">
        <w:rPr>
          <w:rFonts w:ascii="Times New Roman" w:hAnsi="Times New Roman" w:cs="Times New Roman"/>
        </w:rPr>
        <w:t>202</w:t>
      </w:r>
      <w:r w:rsidR="006B6B0A">
        <w:rPr>
          <w:rFonts w:ascii="Times New Roman" w:hAnsi="Times New Roman" w:cs="Times New Roman"/>
        </w:rPr>
        <w:t>3</w:t>
      </w:r>
      <w:r w:rsidR="00673FEE">
        <w:rPr>
          <w:rFonts w:ascii="Times New Roman" w:hAnsi="Times New Roman" w:cs="Times New Roman"/>
        </w:rPr>
        <w:t xml:space="preserve"> год</w:t>
      </w:r>
      <w:r w:rsidR="00AA44CC" w:rsidRPr="00821FCD">
        <w:rPr>
          <w:rFonts w:ascii="Times New Roman" w:hAnsi="Times New Roman" w:cs="Times New Roman"/>
        </w:rPr>
        <w:t xml:space="preserve"> показал отсутствие нарушений антимонопольного законодательства по сравнению с предыдущими годами (201</w:t>
      </w:r>
      <w:r w:rsidR="00BD199A">
        <w:rPr>
          <w:rFonts w:ascii="Times New Roman" w:hAnsi="Times New Roman" w:cs="Times New Roman"/>
        </w:rPr>
        <w:t>8</w:t>
      </w:r>
      <w:r w:rsidR="00AA44CC" w:rsidRPr="00821FCD">
        <w:rPr>
          <w:rFonts w:ascii="Times New Roman" w:hAnsi="Times New Roman" w:cs="Times New Roman"/>
        </w:rPr>
        <w:t>-20</w:t>
      </w:r>
      <w:r w:rsidR="00BD199A">
        <w:rPr>
          <w:rFonts w:ascii="Times New Roman" w:hAnsi="Times New Roman" w:cs="Times New Roman"/>
        </w:rPr>
        <w:t>20</w:t>
      </w:r>
      <w:r w:rsidR="00AA44CC" w:rsidRPr="00821FCD">
        <w:rPr>
          <w:rFonts w:ascii="Times New Roman" w:hAnsi="Times New Roman" w:cs="Times New Roman"/>
        </w:rPr>
        <w:t xml:space="preserve"> гг.), что свидетельствует </w:t>
      </w:r>
      <w:r w:rsidR="00AA44CC" w:rsidRPr="0046268B">
        <w:rPr>
          <w:rFonts w:ascii="Times New Roman" w:hAnsi="Times New Roman" w:cs="Times New Roman"/>
        </w:rPr>
        <w:t xml:space="preserve">о снижении количества нарушений антимонопольного законодательства. Также ключевым показателем эффективности функционирования антимонопольного </w:t>
      </w:r>
      <w:proofErr w:type="spellStart"/>
      <w:r w:rsidR="00AA44CC" w:rsidRPr="0046268B">
        <w:rPr>
          <w:rFonts w:ascii="Times New Roman" w:hAnsi="Times New Roman" w:cs="Times New Roman"/>
        </w:rPr>
        <w:t>комплаенса</w:t>
      </w:r>
      <w:proofErr w:type="spellEnd"/>
      <w:r w:rsidR="00AA44CC" w:rsidRPr="0046268B">
        <w:rPr>
          <w:rFonts w:ascii="Times New Roman" w:hAnsi="Times New Roman" w:cs="Times New Roman"/>
        </w:rPr>
        <w:t xml:space="preserve"> в Администрации является повышение </w:t>
      </w:r>
      <w:proofErr w:type="gramStart"/>
      <w:r w:rsidR="00AA44CC" w:rsidRPr="0046268B">
        <w:rPr>
          <w:rFonts w:ascii="Times New Roman" w:hAnsi="Times New Roman" w:cs="Times New Roman"/>
        </w:rPr>
        <w:t>уровня квалификации специалистов администрации сельского поселения</w:t>
      </w:r>
      <w:proofErr w:type="gramEnd"/>
      <w:r w:rsidR="00AA44CC" w:rsidRPr="0046268B">
        <w:rPr>
          <w:rFonts w:ascii="Times New Roman" w:hAnsi="Times New Roman" w:cs="Times New Roman"/>
        </w:rPr>
        <w:t xml:space="preserve"> Алакуртти (семинары, </w:t>
      </w:r>
      <w:proofErr w:type="spellStart"/>
      <w:r w:rsidR="00AA44CC" w:rsidRPr="0046268B">
        <w:rPr>
          <w:rFonts w:ascii="Times New Roman" w:hAnsi="Times New Roman" w:cs="Times New Roman"/>
        </w:rPr>
        <w:t>вебинары</w:t>
      </w:r>
      <w:proofErr w:type="spellEnd"/>
      <w:r w:rsidR="00AA44CC" w:rsidRPr="0046268B">
        <w:rPr>
          <w:rFonts w:ascii="Times New Roman" w:hAnsi="Times New Roman" w:cs="Times New Roman"/>
        </w:rPr>
        <w:t>, самообразование).</w:t>
      </w:r>
    </w:p>
    <w:p w:rsidR="006128D4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2.5. При проведении анализа возможные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>-риски в деятельности Администрации</w:t>
      </w:r>
      <w:r w:rsidR="006128D4" w:rsidRPr="0046268B">
        <w:rPr>
          <w:rFonts w:ascii="Times New Roman" w:hAnsi="Times New Roman" w:cs="Times New Roman"/>
        </w:rPr>
        <w:t xml:space="preserve"> включает в себя: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анализ вероятности и последствий идентифицированных опасных событий с учетом наличия и эффективности применяемых способов управления (данные о вероятности событий и их последствиях используют для определения уровня риска);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анализ источников опасных событий, их положительных и отрицательных последствий и вероятностей появления этих событий (при этом должны быть идентифицированы факторы, влияющие на вероятность события и его последствия).</w:t>
      </w:r>
    </w:p>
    <w:p w:rsidR="00AA44CC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В ходе проведенного анализа были</w:t>
      </w:r>
      <w:r w:rsidR="00AA44CC" w:rsidRPr="0046268B">
        <w:rPr>
          <w:rFonts w:ascii="Times New Roman" w:hAnsi="Times New Roman" w:cs="Times New Roman"/>
        </w:rPr>
        <w:t xml:space="preserve"> установлении причины и условия возникновения риска нарушения антимонопольного законодательства, а именно:</w:t>
      </w:r>
    </w:p>
    <w:p w:rsidR="00AA44CC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Загруженность специалистов;</w:t>
      </w:r>
    </w:p>
    <w:p w:rsidR="00AA44CC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Отсутствие надлежащей экспертизы документации закупки</w:t>
      </w:r>
      <w:r w:rsidR="006128D4" w:rsidRPr="0046268B">
        <w:rPr>
          <w:rFonts w:ascii="Times New Roman" w:hAnsi="Times New Roman" w:cs="Times New Roman"/>
        </w:rPr>
        <w:t>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Ошибочное применение норм материального права.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В целях минимизации и устранения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 xml:space="preserve">-рисков Администрацией разработаны следующие мероприятия по снижению рисков нарушения антимонопольного </w:t>
      </w:r>
      <w:proofErr w:type="spellStart"/>
      <w:r w:rsidRPr="0046268B">
        <w:rPr>
          <w:rFonts w:ascii="Times New Roman" w:hAnsi="Times New Roman" w:cs="Times New Roman"/>
        </w:rPr>
        <w:t>комплаенса</w:t>
      </w:r>
      <w:proofErr w:type="spellEnd"/>
      <w:r w:rsidRPr="0046268B">
        <w:rPr>
          <w:rFonts w:ascii="Times New Roman" w:hAnsi="Times New Roman" w:cs="Times New Roman"/>
        </w:rPr>
        <w:t>: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46268B">
        <w:rPr>
          <w:rFonts w:ascii="Times New Roman" w:hAnsi="Times New Roman" w:cs="Times New Roman"/>
        </w:rPr>
        <w:t>- Консультирование по возникающим в ходе закупочной деятельности вопросам с представителями органов исполнительной власти, осуществляющих межотраслевую координацию по вопросам, отнесенным к их ведению, а также функциональное регулирование в определенной сфере деятельности;</w:t>
      </w:r>
      <w:proofErr w:type="gramEnd"/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Принятие решений коллегиально/комиссией;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Изучение методических материалов и разъяснений по соблюдению антимонопольного законодательства;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- Повышение уровня квалификации специалистов Администрации (семинары, </w:t>
      </w:r>
      <w:proofErr w:type="spellStart"/>
      <w:r w:rsidRPr="0046268B">
        <w:rPr>
          <w:rFonts w:ascii="Times New Roman" w:hAnsi="Times New Roman" w:cs="Times New Roman"/>
        </w:rPr>
        <w:t>вебинары</w:t>
      </w:r>
      <w:proofErr w:type="spellEnd"/>
      <w:r w:rsidRPr="0046268B">
        <w:rPr>
          <w:rFonts w:ascii="Times New Roman" w:hAnsi="Times New Roman" w:cs="Times New Roman"/>
        </w:rPr>
        <w:t>, самообразование);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Повышение качества проработки документации о закупке;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- Усиление внутреннего </w:t>
      </w:r>
      <w:proofErr w:type="gramStart"/>
      <w:r w:rsidRPr="0046268B">
        <w:rPr>
          <w:rFonts w:ascii="Times New Roman" w:hAnsi="Times New Roman" w:cs="Times New Roman"/>
        </w:rPr>
        <w:t>контроля за</w:t>
      </w:r>
      <w:proofErr w:type="gramEnd"/>
      <w:r w:rsidRPr="0046268B">
        <w:rPr>
          <w:rFonts w:ascii="Times New Roman" w:hAnsi="Times New Roman" w:cs="Times New Roman"/>
        </w:rPr>
        <w:t xml:space="preserve"> соблюдением специалистами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</w:r>
      <w:r w:rsidR="00943BC0" w:rsidRPr="0046268B">
        <w:rPr>
          <w:rFonts w:ascii="Times New Roman" w:hAnsi="Times New Roman" w:cs="Times New Roman"/>
        </w:rPr>
        <w:t>нужд;</w:t>
      </w:r>
    </w:p>
    <w:p w:rsidR="00943BC0" w:rsidRPr="0046268B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lastRenderedPageBreak/>
        <w:t>- 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законодательстве.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2.6. В целях выявления рисков нарушения антимонопольного законодательства Администрацией проводится оценка потенциально возможных событий, обстоятельств и факторов, влияющих на наступление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>-рисков.</w:t>
      </w:r>
    </w:p>
    <w:p w:rsidR="006128D4" w:rsidRPr="0046268B" w:rsidRDefault="000A028F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По результатам проведенной оценки рисков нарушения антимонопольного законодательства р</w:t>
      </w:r>
      <w:r w:rsidR="006128D4" w:rsidRPr="0046268B">
        <w:rPr>
          <w:rFonts w:ascii="Times New Roman" w:hAnsi="Times New Roman" w:cs="Times New Roman"/>
        </w:rPr>
        <w:t xml:space="preserve">азработана и утверждена карта (паспорт) </w:t>
      </w:r>
      <w:proofErr w:type="spellStart"/>
      <w:r w:rsidR="006128D4" w:rsidRPr="0046268B">
        <w:rPr>
          <w:rFonts w:ascii="Times New Roman" w:hAnsi="Times New Roman" w:cs="Times New Roman"/>
        </w:rPr>
        <w:t>комплаенс</w:t>
      </w:r>
      <w:proofErr w:type="spellEnd"/>
      <w:r w:rsidR="006128D4" w:rsidRPr="0046268B">
        <w:rPr>
          <w:rFonts w:ascii="Times New Roman" w:hAnsi="Times New Roman" w:cs="Times New Roman"/>
        </w:rPr>
        <w:t>-рисков Администрации</w:t>
      </w:r>
      <w:r w:rsidR="0046268B" w:rsidRPr="0046268B">
        <w:rPr>
          <w:rFonts w:ascii="Times New Roman" w:hAnsi="Times New Roman" w:cs="Times New Roman"/>
        </w:rPr>
        <w:t xml:space="preserve"> (Приложение 1 к Докладу) и Дорожная карта по снижению </w:t>
      </w:r>
      <w:proofErr w:type="spellStart"/>
      <w:r w:rsidR="0046268B" w:rsidRPr="0046268B">
        <w:rPr>
          <w:rFonts w:ascii="Times New Roman" w:hAnsi="Times New Roman" w:cs="Times New Roman"/>
        </w:rPr>
        <w:t>комплаенс</w:t>
      </w:r>
      <w:proofErr w:type="spellEnd"/>
      <w:r w:rsidR="0046268B" w:rsidRPr="0046268B">
        <w:rPr>
          <w:rFonts w:ascii="Times New Roman" w:hAnsi="Times New Roman" w:cs="Times New Roman"/>
        </w:rPr>
        <w:t>-рисков в Администрации (Приложение 2 к Докладу)</w:t>
      </w:r>
      <w:r w:rsidR="00301CC5" w:rsidRPr="0046268B">
        <w:rPr>
          <w:rFonts w:ascii="Times New Roman" w:hAnsi="Times New Roman" w:cs="Times New Roman"/>
        </w:rPr>
        <w:t>.</w:t>
      </w:r>
    </w:p>
    <w:p w:rsidR="0046268B" w:rsidRDefault="0046268B" w:rsidP="00DB562B">
      <w:pPr>
        <w:autoSpaceDE w:val="0"/>
        <w:autoSpaceDN w:val="0"/>
        <w:adjustRightInd w:val="0"/>
        <w:spacing w:after="0" w:line="23" w:lineRule="atLeast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46268B">
        <w:rPr>
          <w:rFonts w:ascii="Times New Roman" w:hAnsi="Times New Roman" w:cs="Times New Roman"/>
        </w:rPr>
        <w:t xml:space="preserve">2.7. </w:t>
      </w:r>
      <w:r w:rsidRPr="0046268B">
        <w:rPr>
          <w:rFonts w:ascii="Times New Roman" w:hAnsi="Times New Roman"/>
        </w:rPr>
        <w:t>Во исполнении распоряжение Правительства РФ от 18 октября 2018 г. № 2258-р</w:t>
      </w:r>
      <w:proofErr w:type="gramStart"/>
      <w:r w:rsidRPr="0046268B">
        <w:rPr>
          <w:rFonts w:ascii="Times New Roman" w:hAnsi="Times New Roman"/>
        </w:rPr>
        <w:t xml:space="preserve"> О</w:t>
      </w:r>
      <w:proofErr w:type="gramEnd"/>
      <w:r w:rsidRPr="0046268B">
        <w:rPr>
          <w:rFonts w:ascii="Times New Roman" w:hAnsi="Times New Roman"/>
        </w:rPr>
        <w:t xml:space="preserve">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пункта 5.2.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6268B">
        <w:rPr>
          <w:rFonts w:ascii="Times New Roman" w:hAnsi="Times New Roman"/>
        </w:rPr>
        <w:t>комплаенс</w:t>
      </w:r>
      <w:proofErr w:type="spellEnd"/>
      <w:r w:rsidRPr="0046268B">
        <w:rPr>
          <w:rFonts w:ascii="Times New Roman" w:hAnsi="Times New Roman"/>
        </w:rPr>
        <w:t>) в Администрации сельского поселения Алакуртти Кандалакшского района были утверждены ключевые показатели эффективности функционирования в Администрации</w:t>
      </w:r>
      <w:r w:rsidRPr="0046268B">
        <w:t xml:space="preserve"> </w:t>
      </w:r>
      <w:r w:rsidRPr="0046268B">
        <w:rPr>
          <w:rFonts w:ascii="Times New Roman" w:hAnsi="Times New Roman"/>
        </w:rPr>
        <w:t xml:space="preserve">сельского поселения Алакуртти Кандалакшского района антимонопольного </w:t>
      </w:r>
      <w:proofErr w:type="spellStart"/>
      <w:r w:rsidRPr="0046268B">
        <w:rPr>
          <w:rFonts w:ascii="Times New Roman" w:hAnsi="Times New Roman"/>
        </w:rPr>
        <w:t>комплаенса</w:t>
      </w:r>
      <w:proofErr w:type="spellEnd"/>
      <w:r w:rsidRPr="0046268B">
        <w:rPr>
          <w:rFonts w:ascii="Times New Roman" w:hAnsi="Times New Roman"/>
        </w:rPr>
        <w:t xml:space="preserve"> за 20</w:t>
      </w:r>
      <w:r w:rsidR="00BD199A">
        <w:rPr>
          <w:rFonts w:ascii="Times New Roman" w:hAnsi="Times New Roman"/>
        </w:rPr>
        <w:t>2</w:t>
      </w:r>
      <w:r w:rsidR="006B6B0A">
        <w:rPr>
          <w:rFonts w:ascii="Times New Roman" w:hAnsi="Times New Roman"/>
        </w:rPr>
        <w:t>3</w:t>
      </w:r>
      <w:r w:rsidRPr="0046268B">
        <w:rPr>
          <w:rFonts w:ascii="Times New Roman" w:hAnsi="Times New Roman"/>
        </w:rPr>
        <w:t xml:space="preserve"> г (Приложение 3 к Докладу).</w:t>
      </w:r>
    </w:p>
    <w:p w:rsidR="0046268B" w:rsidRPr="00821FCD" w:rsidRDefault="0046268B" w:rsidP="002F24B5">
      <w:pPr>
        <w:spacing w:after="0" w:line="276" w:lineRule="auto"/>
        <w:rPr>
          <w:rFonts w:ascii="Times New Roman" w:hAnsi="Times New Roman" w:cs="Times New Roman"/>
        </w:rPr>
        <w:sectPr w:rsidR="0046268B" w:rsidRPr="00821FC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52" w:rsidRPr="00821FCD" w:rsidRDefault="0046268B" w:rsidP="004626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01CC5" w:rsidRPr="00943BC0" w:rsidRDefault="00301CC5" w:rsidP="00301CC5">
      <w:pPr>
        <w:pStyle w:val="a5"/>
        <w:rPr>
          <w:sz w:val="20"/>
          <w:szCs w:val="20"/>
        </w:rPr>
      </w:pPr>
      <w:r w:rsidRPr="00943BC0">
        <w:rPr>
          <w:sz w:val="20"/>
          <w:szCs w:val="20"/>
        </w:rPr>
        <w:t>КАРТА (ПАСПОРТ) КОМПЛАЕНС-РИСКОВ АДМИНИСТРАЦИИ</w:t>
      </w:r>
    </w:p>
    <w:p w:rsidR="00994B2F" w:rsidRPr="00943BC0" w:rsidRDefault="00994B2F" w:rsidP="00301CC5">
      <w:pPr>
        <w:pStyle w:val="a5"/>
        <w:rPr>
          <w:sz w:val="20"/>
          <w:szCs w:val="20"/>
        </w:rPr>
      </w:pPr>
      <w:r w:rsidRPr="00943BC0">
        <w:rPr>
          <w:sz w:val="20"/>
          <w:szCs w:val="20"/>
        </w:rPr>
        <w:t>(предварительная</w:t>
      </w:r>
      <w:r w:rsidRPr="00943BC0">
        <w:rPr>
          <w:rStyle w:val="a9"/>
          <w:sz w:val="20"/>
          <w:szCs w:val="20"/>
        </w:rPr>
        <w:footnoteReference w:id="1"/>
      </w:r>
      <w:r w:rsidRPr="00943BC0">
        <w:rPr>
          <w:sz w:val="20"/>
          <w:szCs w:val="20"/>
        </w:rPr>
        <w:t>)</w:t>
      </w:r>
    </w:p>
    <w:p w:rsidR="00301CC5" w:rsidRPr="00821FCD" w:rsidRDefault="00301CC5" w:rsidP="00301C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5812"/>
        <w:gridCol w:w="2551"/>
      </w:tblGrid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Вид риска</w:t>
            </w:r>
          </w:p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законодательств.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Нарушение порядка определения и обоснования </w:t>
            </w:r>
            <w:proofErr w:type="gramStart"/>
            <w:r w:rsidRPr="00821FCD">
              <w:rPr>
                <w:rFonts w:ascii="Times New Roman" w:hAnsi="Times New Roman"/>
              </w:rPr>
              <w:t>начальной</w:t>
            </w:r>
            <w:proofErr w:type="gramEnd"/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(максимальной) цены контракта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982603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Наличие в муниципальном правовом акте Администрации положений, которые приводят к недопущению, ограничению, устранению конкуренции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принятие правовых актов с нарушением антимонопольного законодательства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Неверное толкование и применения норм права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Отсутствие методических документов (рекомендаций, разъяснений)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законодательства. 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Высокая загруженность сотрудников Администрации работой, выполняемой в соответствии с должностными инструкциями, регламентами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ограничению,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устранению конкуренции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принятие правовых актов с нарушением антимонопольного законодательства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Неверное толкование и применения норм права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Отсутствие методических документов (рекомендаций, разъяснений) по осуществлению анализа действующих </w:t>
            </w:r>
            <w:r w:rsidRPr="00821FCD">
              <w:rPr>
                <w:rFonts w:ascii="Times New Roman" w:hAnsi="Times New Roman"/>
              </w:rPr>
              <w:lastRenderedPageBreak/>
              <w:t xml:space="preserve">муниципальных нормативных правовых актов на предмет выявления рисков нарушения антимонопольного законодательства. </w:t>
            </w: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Высокая загруженность сотрудников Администрации работой, выполняемой в соответствии с должностными инструкциями, регламентами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Незначительный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proofErr w:type="gramStart"/>
            <w:r w:rsidRPr="00821FCD">
              <w:rPr>
                <w:rFonts w:ascii="Times New Roman" w:hAnsi="Times New Roman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</w:t>
            </w:r>
            <w:proofErr w:type="gramEnd"/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Существует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владение и (или) пользование муниципальной собственности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Утверждение конкурсной, аукционной  документации с нарушением требований к предмету и участникам торгов, влекущее за собой ограничение количества участников торгов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сроков подготовки ответов на обращения физических и юридических лиц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2907A6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Отсутствие ответа по существу на поставленные в обращении вопросы, если их разрешение входит в компетенцию Администрации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</w:tbl>
    <w:p w:rsidR="002F24B5" w:rsidRPr="002F24B5" w:rsidRDefault="002F24B5" w:rsidP="002F24B5">
      <w:pPr>
        <w:rPr>
          <w:rFonts w:ascii="Times New Roman" w:hAnsi="Times New Roman" w:cs="Times New Roman"/>
          <w:sz w:val="24"/>
          <w:szCs w:val="24"/>
        </w:rPr>
      </w:pPr>
      <w:r w:rsidRPr="002F24B5">
        <w:rPr>
          <w:rFonts w:ascii="Times New Roman" w:hAnsi="Times New Roman" w:cs="Times New Roman"/>
          <w:sz w:val="24"/>
          <w:szCs w:val="24"/>
        </w:rPr>
        <w:t xml:space="preserve">Уровень риска нарушения антимонопольного законодательства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F24B5">
        <w:rPr>
          <w:rFonts w:ascii="Times New Roman" w:hAnsi="Times New Roman" w:cs="Times New Roman"/>
          <w:sz w:val="24"/>
          <w:szCs w:val="24"/>
        </w:rPr>
        <w:t xml:space="preserve"> определен как низкий</w:t>
      </w:r>
      <w:r>
        <w:rPr>
          <w:rFonts w:ascii="Times New Roman" w:hAnsi="Times New Roman" w:cs="Times New Roman"/>
          <w:sz w:val="24"/>
          <w:szCs w:val="24"/>
        </w:rPr>
        <w:t xml:space="preserve"> ил незначительный,</w:t>
      </w:r>
      <w:r w:rsidRPr="002F24B5">
        <w:rPr>
          <w:rFonts w:ascii="Times New Roman" w:hAnsi="Times New Roman" w:cs="Times New Roman"/>
          <w:sz w:val="24"/>
          <w:szCs w:val="24"/>
        </w:rPr>
        <w:t xml:space="preserve"> так как отсутствуют отрицательное влияние на отношение институтов гражданского общества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F24B5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2F24B5">
        <w:rPr>
          <w:rFonts w:ascii="Times New Roman" w:hAnsi="Times New Roman" w:cs="Times New Roman"/>
          <w:sz w:val="24"/>
          <w:szCs w:val="24"/>
        </w:rPr>
        <w:t xml:space="preserve">вероятность выдачи предупреждений, возбуждения дел о нарушении антимонопольного законодательства, наложения штрафов. </w:t>
      </w:r>
    </w:p>
    <w:p w:rsidR="002F24B5" w:rsidRDefault="002F24B5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268B" w:rsidRDefault="0046268B" w:rsidP="00462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C973DE" w:rsidRPr="00943BC0" w:rsidRDefault="00C973DE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«ДОРОЖНАЯ КАРТА» ПО СНИЖЕНИЮ КОМПЛАЕНС-РИСКОВ АДМИНИСТРАЦИИ</w:t>
      </w:r>
    </w:p>
    <w:p w:rsidR="00740FCE" w:rsidRPr="00943BC0" w:rsidRDefault="00740FCE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(предварительная</w:t>
      </w:r>
      <w:r w:rsidRPr="00943BC0">
        <w:rPr>
          <w:rStyle w:val="a9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2"/>
      </w:r>
      <w:r w:rsidRPr="00943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930A1" w:rsidRPr="00C973DE" w:rsidRDefault="00A930A1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4978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1984"/>
        <w:gridCol w:w="1985"/>
        <w:gridCol w:w="1940"/>
        <w:gridCol w:w="1986"/>
      </w:tblGrid>
      <w:tr w:rsidR="00740FCE" w:rsidRPr="00821FCD" w:rsidTr="007B5C60">
        <w:trPr>
          <w:trHeight w:val="694"/>
        </w:trPr>
        <w:tc>
          <w:tcPr>
            <w:tcW w:w="2830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973DE">
              <w:rPr>
                <w:rFonts w:ascii="Times New Roman" w:eastAsia="Times New Roman" w:hAnsi="Times New Roman"/>
                <w:b/>
              </w:rPr>
              <w:t>Комплаенс</w:t>
            </w:r>
            <w:proofErr w:type="spellEnd"/>
            <w:r w:rsidRPr="00C973DE">
              <w:rPr>
                <w:rFonts w:ascii="Times New Roman" w:eastAsia="Times New Roman" w:hAnsi="Times New Roman"/>
                <w:b/>
              </w:rPr>
              <w:t>-риск</w:t>
            </w:r>
          </w:p>
        </w:tc>
        <w:tc>
          <w:tcPr>
            <w:tcW w:w="4253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1984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Необходимые ресурсы</w:t>
            </w:r>
          </w:p>
        </w:tc>
        <w:tc>
          <w:tcPr>
            <w:tcW w:w="1985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Календарный план выполнения работ</w:t>
            </w:r>
          </w:p>
        </w:tc>
        <w:tc>
          <w:tcPr>
            <w:tcW w:w="1940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986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Критерии эффективности</w:t>
            </w:r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законодательств.</w:t>
            </w:r>
          </w:p>
        </w:tc>
        <w:tc>
          <w:tcPr>
            <w:tcW w:w="4253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должностных лиц Администрации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Самостоятельное изучение должностными лицами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должностными лицами Администрации своих должностных обязанностей;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984" w:type="dxa"/>
          </w:tcPr>
          <w:p w:rsidR="00740FCE" w:rsidRPr="00821FCD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Разработка и проведение мероприятия по снижению рисков нарушения антимонопольного законодательства</w:t>
            </w:r>
          </w:p>
          <w:p w:rsidR="007B5C60" w:rsidRPr="00C973DE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Мониторинг исполнения мероприятий по снижению рисков нарушения антимонопольного законодательства</w:t>
            </w:r>
          </w:p>
        </w:tc>
        <w:tc>
          <w:tcPr>
            <w:tcW w:w="1985" w:type="dxa"/>
          </w:tcPr>
          <w:p w:rsidR="00740FCE" w:rsidRPr="00C973DE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740FCE" w:rsidRPr="00C973DE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Снижение или отсутствие нарушений антимонопольного законодательства</w:t>
            </w:r>
          </w:p>
        </w:tc>
        <w:tc>
          <w:tcPr>
            <w:tcW w:w="1986" w:type="dxa"/>
          </w:tcPr>
          <w:p w:rsidR="00740FCE" w:rsidRPr="00C973DE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Снижение или отсутствие предостережений, предупреждений, штрафов, жалоб, возбужденных дел в отношении Администрации</w:t>
            </w:r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Наличие в муниципальном правовом акте Администрации положений, которые приводят к недопущению, ограничению, устранению конкуренции</w:t>
            </w:r>
          </w:p>
        </w:tc>
        <w:tc>
          <w:tcPr>
            <w:tcW w:w="4253" w:type="dxa"/>
          </w:tcPr>
          <w:p w:rsidR="00740FCE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943BC0" w:rsidRPr="00821FCD" w:rsidRDefault="00943BC0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Организация проведения анализа нормативного правового акта на предмет его </w:t>
            </w:r>
            <w:r w:rsidRPr="00821FCD">
              <w:rPr>
                <w:rFonts w:ascii="Times New Roman" w:hAnsi="Times New Roman"/>
              </w:rPr>
              <w:lastRenderedPageBreak/>
              <w:t>соответствия требованиям антимонопольного законодательства</w:t>
            </w: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</w:p>
          <w:p w:rsidR="00A930A1" w:rsidRPr="00821FCD" w:rsidRDefault="00A930A1" w:rsidP="00A930A1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размещение на официальном сайте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</w:t>
            </w:r>
          </w:p>
        </w:tc>
        <w:tc>
          <w:tcPr>
            <w:tcW w:w="1984" w:type="dxa"/>
          </w:tcPr>
          <w:p w:rsidR="00740FCE" w:rsidRPr="00821FCD" w:rsidRDefault="00A930A1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 xml:space="preserve">Мониторинг Положения об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антимонопольном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1FCD">
              <w:rPr>
                <w:rFonts w:ascii="Times New Roman" w:eastAsia="Times New Roman" w:hAnsi="Times New Roman"/>
              </w:rPr>
              <w:t>комплаенсе</w:t>
            </w:r>
            <w:proofErr w:type="spellEnd"/>
            <w:r w:rsidRPr="00821FCD">
              <w:rPr>
                <w:rFonts w:ascii="Times New Roman" w:eastAsia="Times New Roman" w:hAnsi="Times New Roman"/>
              </w:rPr>
              <w:t xml:space="preserve"> на предмет его совершенствования</w:t>
            </w:r>
          </w:p>
          <w:p w:rsidR="00A930A1" w:rsidRPr="00821FCD" w:rsidRDefault="00A930A1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Общественная экспертиза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действующих нормативных правовых актов и проектов нормативных правовых актов</w:t>
            </w:r>
          </w:p>
        </w:tc>
        <w:tc>
          <w:tcPr>
            <w:tcW w:w="1985" w:type="dxa"/>
          </w:tcPr>
          <w:p w:rsidR="00740FCE" w:rsidRPr="00821FCD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1940" w:type="dxa"/>
          </w:tcPr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Принятие нормативных правовых актов в полном соответствии с антимонопольным законодательством</w:t>
            </w:r>
          </w:p>
        </w:tc>
        <w:tc>
          <w:tcPr>
            <w:tcW w:w="1986" w:type="dxa"/>
          </w:tcPr>
          <w:p w:rsidR="00740FCE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некорректных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муниципальных нормативных правовых акты, которые могут стать предметом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прокурорского реагирования</w:t>
            </w:r>
            <w:bookmarkStart w:id="0" w:name="_GoBack"/>
            <w:bookmarkEnd w:id="0"/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ограничению,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устранению конкуренции</w:t>
            </w:r>
          </w:p>
        </w:tc>
        <w:tc>
          <w:tcPr>
            <w:tcW w:w="4253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размещение на официальном сайте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</w:t>
            </w:r>
          </w:p>
        </w:tc>
        <w:tc>
          <w:tcPr>
            <w:tcW w:w="1984" w:type="dxa"/>
          </w:tcPr>
          <w:p w:rsidR="00A930A1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Мониторинг Положения об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антимонопольном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1FCD">
              <w:rPr>
                <w:rFonts w:ascii="Times New Roman" w:eastAsia="Times New Roman" w:hAnsi="Times New Roman"/>
              </w:rPr>
              <w:t>комплаенсе</w:t>
            </w:r>
            <w:proofErr w:type="spellEnd"/>
            <w:r w:rsidRPr="00821FCD">
              <w:rPr>
                <w:rFonts w:ascii="Times New Roman" w:eastAsia="Times New Roman" w:hAnsi="Times New Roman"/>
              </w:rPr>
              <w:t xml:space="preserve"> на предмет его совершенствования</w:t>
            </w:r>
          </w:p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Общественная экспертиза действующих нормативных правовых актов и проектов нормативных правовых актов</w:t>
            </w:r>
          </w:p>
        </w:tc>
        <w:tc>
          <w:tcPr>
            <w:tcW w:w="1985" w:type="dxa"/>
          </w:tcPr>
          <w:p w:rsidR="00740FCE" w:rsidRPr="00821FCD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Разработка нормативных правовых актов в полном соответствии с антимонопольным законодательством</w:t>
            </w:r>
          </w:p>
        </w:tc>
        <w:tc>
          <w:tcPr>
            <w:tcW w:w="1986" w:type="dxa"/>
          </w:tcPr>
          <w:p w:rsidR="00740FCE" w:rsidRPr="00821FCD" w:rsidRDefault="00821FCD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некорректных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муниципальных нормативных правовых акты, которые могут стать предметом прокурорского реагирования</w:t>
            </w:r>
          </w:p>
        </w:tc>
      </w:tr>
      <w:tr w:rsidR="00821FCD" w:rsidRPr="00821FCD" w:rsidTr="007B5C60">
        <w:trPr>
          <w:trHeight w:val="422"/>
        </w:trPr>
        <w:tc>
          <w:tcPr>
            <w:tcW w:w="2830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4253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Проведение мониторинга изменений антимонопольного законодательства и </w:t>
            </w:r>
            <w:r w:rsidRPr="00821FCD">
              <w:rPr>
                <w:rFonts w:ascii="Times New Roman" w:hAnsi="Times New Roman"/>
              </w:rPr>
              <w:lastRenderedPageBreak/>
              <w:t>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сотрудниками Администрации проверки соответствия требованиям антимонопольного законодательства положений проектов муниципальных правовых актов, а также действующих муниципальных правовых актов,  и подготовка предложений о необходимости внесения изменений в муниципальные правовые акты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Самостоятельное изучение сотрудниками Администрации положений Федерального закона от 26.07.2006 N 135-ФЗ "О защите конкуренции" и Приказа ФАС России от 10.02.2010 N 67 (с изм.)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Администрации</w:t>
            </w:r>
          </w:p>
        </w:tc>
        <w:tc>
          <w:tcPr>
            <w:tcW w:w="1984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Разработка и проведение мероприятия по снижению рисков нарушения антимонопольного законодательства</w:t>
            </w:r>
          </w:p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Мониторинг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исполнения мероприятий по снижению рисков нарушения антимонопольного законодательства</w:t>
            </w:r>
          </w:p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Сбор на постоянной основе сведений о практике антимонопольного законодательства</w:t>
            </w:r>
          </w:p>
        </w:tc>
        <w:tc>
          <w:tcPr>
            <w:tcW w:w="1985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1940" w:type="dxa"/>
          </w:tcPr>
          <w:p w:rsidR="00821FCD" w:rsidRPr="00C973DE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нарушений антимонопольного законодательства при владении, пользовании и распоряжении муниципальным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имуществом</w:t>
            </w:r>
          </w:p>
        </w:tc>
        <w:tc>
          <w:tcPr>
            <w:tcW w:w="1986" w:type="dxa"/>
          </w:tcPr>
          <w:p w:rsidR="00821FCD" w:rsidRPr="00C973DE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Снижение или отсутствие предостережений, предупреждений, штрафов, жалоб, возбужденных дел в отношении Администрации</w:t>
            </w:r>
          </w:p>
        </w:tc>
      </w:tr>
      <w:tr w:rsidR="00821FCD" w:rsidRPr="00821FCD" w:rsidTr="007B5C60">
        <w:trPr>
          <w:trHeight w:val="422"/>
        </w:trPr>
        <w:tc>
          <w:tcPr>
            <w:tcW w:w="2830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Нарушение сроков подготовки ответов на обращения физических и юридических лиц</w:t>
            </w:r>
          </w:p>
        </w:tc>
        <w:tc>
          <w:tcPr>
            <w:tcW w:w="4253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текущего контроля предоставления ответов на обращения физических и юридических лиц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Самостоятельное изучение сотрудниками Администрации федерального закона от 02.05.2006 №59-ФЗ «О порядке рассмотрения обращений граждан Российской Федерации»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  <w:p w:rsidR="00603A04" w:rsidRDefault="00603A04" w:rsidP="00821FCD">
            <w:pPr>
              <w:rPr>
                <w:rFonts w:ascii="Times New Roman" w:hAnsi="Times New Roman"/>
              </w:rPr>
            </w:pPr>
          </w:p>
          <w:p w:rsidR="00603A04" w:rsidRPr="00821FCD" w:rsidRDefault="00603A04" w:rsidP="00821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возможности перераспределения должностных обязанностей между ответственными должностными лицами</w:t>
            </w:r>
          </w:p>
        </w:tc>
        <w:tc>
          <w:tcPr>
            <w:tcW w:w="1984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Необходимых затрат не требуется</w:t>
            </w:r>
          </w:p>
        </w:tc>
        <w:tc>
          <w:tcPr>
            <w:tcW w:w="1985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Нарушение сроков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подготовки ответов на обращения физических и юридических лиц</w:t>
            </w:r>
          </w:p>
        </w:tc>
        <w:tc>
          <w:tcPr>
            <w:tcW w:w="1986" w:type="dxa"/>
          </w:tcPr>
          <w:p w:rsidR="00821FCD" w:rsidRPr="00821FCD" w:rsidRDefault="00821FCD" w:rsidP="00603A04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 xml:space="preserve">Отсутствие санкций за нарушение срока рассмотрения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обращений, а также за иное несоблюдение порядка, в том числе направление отписок или необоснованного отказа в предоставлении информации</w:t>
            </w:r>
          </w:p>
        </w:tc>
      </w:tr>
    </w:tbl>
    <w:p w:rsidR="00C973DE" w:rsidRDefault="00C973DE" w:rsidP="00301CC5">
      <w:pPr>
        <w:rPr>
          <w:rFonts w:ascii="Times New Roman" w:hAnsi="Times New Roman" w:cs="Times New Roman"/>
          <w:sz w:val="24"/>
          <w:szCs w:val="24"/>
        </w:rPr>
      </w:pPr>
    </w:p>
    <w:p w:rsidR="0046268B" w:rsidRDefault="0046268B" w:rsidP="004626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268B" w:rsidRPr="0046268B" w:rsidRDefault="0046268B" w:rsidP="0046268B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46268B">
        <w:rPr>
          <w:rFonts w:ascii="Times New Roman" w:hAnsi="Times New Roman"/>
          <w:b/>
          <w:sz w:val="24"/>
          <w:szCs w:val="24"/>
        </w:rPr>
        <w:t xml:space="preserve">Ключевые показатели эффективности функционирования в Администрации сельского поселения Алакуртти Кандалакшского района антимонопольного </w:t>
      </w:r>
      <w:proofErr w:type="spellStart"/>
      <w:r w:rsidRPr="0046268B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  <w:r w:rsidRPr="0046268B">
        <w:rPr>
          <w:rFonts w:ascii="Times New Roman" w:hAnsi="Times New Roman"/>
          <w:b/>
          <w:sz w:val="24"/>
          <w:szCs w:val="24"/>
        </w:rPr>
        <w:t xml:space="preserve"> за 20</w:t>
      </w:r>
      <w:r w:rsidR="00BD199A">
        <w:rPr>
          <w:rFonts w:ascii="Times New Roman" w:hAnsi="Times New Roman"/>
          <w:b/>
          <w:sz w:val="24"/>
          <w:szCs w:val="24"/>
        </w:rPr>
        <w:t>2</w:t>
      </w:r>
      <w:r w:rsidR="006B6B0A">
        <w:rPr>
          <w:rFonts w:ascii="Times New Roman" w:hAnsi="Times New Roman"/>
          <w:b/>
          <w:sz w:val="24"/>
          <w:szCs w:val="24"/>
        </w:rPr>
        <w:t>3</w:t>
      </w:r>
      <w:r w:rsidRPr="0046268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4"/>
        <w:tblW w:w="14905" w:type="dxa"/>
        <w:tblInd w:w="-5" w:type="dxa"/>
        <w:tblLook w:val="04A0" w:firstRow="1" w:lastRow="0" w:firstColumn="1" w:lastColumn="0" w:noHBand="0" w:noVBand="1"/>
      </w:tblPr>
      <w:tblGrid>
        <w:gridCol w:w="577"/>
        <w:gridCol w:w="9115"/>
        <w:gridCol w:w="5213"/>
      </w:tblGrid>
      <w:tr w:rsidR="0046268B" w:rsidRPr="0046268B" w:rsidTr="00DB562B">
        <w:trPr>
          <w:trHeight w:val="163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Эффективность показателя</w:t>
            </w:r>
          </w:p>
        </w:tc>
      </w:tr>
      <w:tr w:rsidR="0046268B" w:rsidRPr="0046268B" w:rsidTr="00DB562B">
        <w:trPr>
          <w:trHeight w:val="507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1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6B6B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Количество нарушений антимонопольного законодательства со стороны Администрации за 20</w:t>
            </w:r>
            <w:r w:rsidR="00BC023A">
              <w:rPr>
                <w:rFonts w:ascii="Times New Roman" w:hAnsi="Times New Roman"/>
              </w:rPr>
              <w:t>2</w:t>
            </w:r>
            <w:r w:rsidR="006B6B0A">
              <w:rPr>
                <w:rFonts w:ascii="Times New Roman" w:hAnsi="Times New Roman"/>
              </w:rPr>
              <w:t>3</w:t>
            </w:r>
            <w:r w:rsidRPr="0046268B">
              <w:rPr>
                <w:rFonts w:ascii="Times New Roman" w:hAnsi="Times New Roman"/>
              </w:rPr>
              <w:t xml:space="preserve"> г. по сравнению с предыдущим 20</w:t>
            </w:r>
            <w:r w:rsidR="00BC023A">
              <w:rPr>
                <w:rFonts w:ascii="Times New Roman" w:hAnsi="Times New Roman"/>
              </w:rPr>
              <w:t>2</w:t>
            </w:r>
            <w:r w:rsidR="006B6B0A">
              <w:rPr>
                <w:rFonts w:ascii="Times New Roman" w:hAnsi="Times New Roman"/>
              </w:rPr>
              <w:t>2</w:t>
            </w:r>
            <w:r w:rsidRPr="0046268B">
              <w:rPr>
                <w:rFonts w:ascii="Times New Roman" w:hAnsi="Times New Roman"/>
              </w:rPr>
              <w:t xml:space="preserve"> г</w:t>
            </w:r>
            <w:r w:rsidRPr="0046268B">
              <w:rPr>
                <w:rStyle w:val="a9"/>
                <w:rFonts w:ascii="Times New Roman" w:hAnsi="Times New Roman"/>
              </w:rPr>
              <w:footnoteReference w:id="3"/>
            </w:r>
            <w:r w:rsidRPr="0046268B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  <w:vAlign w:val="center"/>
          </w:tcPr>
          <w:p w:rsidR="0046268B" w:rsidRPr="000D6DB6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20</w:t>
            </w:r>
            <w:r w:rsidR="00BC023A">
              <w:rPr>
                <w:rFonts w:ascii="Times New Roman" w:hAnsi="Times New Roman"/>
              </w:rPr>
              <w:t>2</w:t>
            </w:r>
            <w:r w:rsidR="006B6B0A">
              <w:rPr>
                <w:rFonts w:ascii="Times New Roman" w:hAnsi="Times New Roman"/>
              </w:rPr>
              <w:t>2</w:t>
            </w:r>
            <w:r w:rsidRPr="0046268B">
              <w:rPr>
                <w:rFonts w:ascii="Times New Roman" w:hAnsi="Times New Roman"/>
              </w:rPr>
              <w:t xml:space="preserve"> г. – </w:t>
            </w:r>
            <w:r w:rsidR="000D6DB6" w:rsidRPr="000D6DB6">
              <w:rPr>
                <w:rFonts w:ascii="Times New Roman" w:hAnsi="Times New Roman"/>
              </w:rPr>
              <w:t>0</w:t>
            </w:r>
            <w:r w:rsidRPr="000D6DB6">
              <w:rPr>
                <w:rFonts w:ascii="Times New Roman" w:hAnsi="Times New Roman"/>
              </w:rPr>
              <w:t xml:space="preserve"> нарушени</w:t>
            </w:r>
            <w:r w:rsidR="000D6DB6" w:rsidRPr="000D6DB6">
              <w:rPr>
                <w:rFonts w:ascii="Times New Roman" w:hAnsi="Times New Roman"/>
              </w:rPr>
              <w:t>й</w:t>
            </w:r>
          </w:p>
          <w:p w:rsidR="0046268B" w:rsidRPr="0046268B" w:rsidRDefault="0046268B" w:rsidP="006B6B0A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0D6DB6">
              <w:rPr>
                <w:rFonts w:ascii="Times New Roman" w:hAnsi="Times New Roman"/>
              </w:rPr>
              <w:t>20</w:t>
            </w:r>
            <w:r w:rsidR="00BC023A" w:rsidRPr="000D6DB6">
              <w:rPr>
                <w:rFonts w:ascii="Times New Roman" w:hAnsi="Times New Roman"/>
              </w:rPr>
              <w:t>2</w:t>
            </w:r>
            <w:r w:rsidR="006B6B0A">
              <w:rPr>
                <w:rFonts w:ascii="Times New Roman" w:hAnsi="Times New Roman"/>
              </w:rPr>
              <w:t>3</w:t>
            </w:r>
            <w:r w:rsidRPr="000D6DB6">
              <w:rPr>
                <w:rFonts w:ascii="Times New Roman" w:hAnsi="Times New Roman"/>
              </w:rPr>
              <w:t xml:space="preserve"> г. – 0 нарушений</w:t>
            </w:r>
          </w:p>
        </w:tc>
      </w:tr>
      <w:tr w:rsidR="0046268B" w:rsidRPr="0046268B" w:rsidTr="00DB562B">
        <w:trPr>
          <w:trHeight w:val="501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2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Доля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Не выявлено</w:t>
            </w:r>
          </w:p>
        </w:tc>
      </w:tr>
      <w:tr w:rsidR="0046268B" w:rsidRPr="0046268B" w:rsidTr="00DB562B">
        <w:trPr>
          <w:trHeight w:val="673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46268B">
              <w:rPr>
                <w:rFonts w:ascii="Times New Roman" w:hAnsi="Times New Roman"/>
              </w:rPr>
              <w:t>комплаенсу</w:t>
            </w:r>
            <w:proofErr w:type="spellEnd"/>
            <w:r w:rsidRPr="0046268B">
              <w:rPr>
                <w:rStyle w:val="a9"/>
                <w:rFonts w:ascii="Times New Roman" w:hAnsi="Times New Roman"/>
              </w:rPr>
              <w:footnoteReference w:id="4"/>
            </w:r>
            <w:r w:rsidRPr="0046268B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100 %</w:t>
            </w:r>
          </w:p>
        </w:tc>
      </w:tr>
    </w:tbl>
    <w:p w:rsidR="0046268B" w:rsidRPr="00821FCD" w:rsidRDefault="0046268B" w:rsidP="00301CC5">
      <w:pPr>
        <w:rPr>
          <w:rFonts w:ascii="Times New Roman" w:hAnsi="Times New Roman" w:cs="Times New Roman"/>
          <w:sz w:val="24"/>
          <w:szCs w:val="24"/>
        </w:rPr>
        <w:sectPr w:rsidR="0046268B" w:rsidRPr="00821FCD" w:rsidSect="00BC37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28D4" w:rsidRPr="002F24B5" w:rsidRDefault="005301D6" w:rsidP="002F24B5">
      <w:pPr>
        <w:ind w:left="-567" w:firstLine="567"/>
        <w:rPr>
          <w:rFonts w:ascii="Times New Roman" w:hAnsi="Times New Roman" w:cs="Times New Roman"/>
          <w:b/>
        </w:rPr>
      </w:pPr>
      <w:r w:rsidRPr="002F24B5">
        <w:rPr>
          <w:rFonts w:ascii="Times New Roman" w:hAnsi="Times New Roman" w:cs="Times New Roman"/>
          <w:b/>
        </w:rPr>
        <w:lastRenderedPageBreak/>
        <w:t>3.</w:t>
      </w:r>
      <w:r w:rsidR="000A028F" w:rsidRPr="002F24B5">
        <w:rPr>
          <w:rFonts w:ascii="Times New Roman" w:hAnsi="Times New Roman" w:cs="Times New Roman"/>
          <w:b/>
        </w:rPr>
        <w:t>Выводы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В настоящее время в Администрации осуществлено внедрение </w:t>
      </w:r>
      <w:proofErr w:type="gramStart"/>
      <w:r w:rsidRPr="00821FCD">
        <w:rPr>
          <w:rFonts w:ascii="Times New Roman" w:hAnsi="Times New Roman" w:cs="Times New Roman"/>
        </w:rPr>
        <w:t>системы внутреннего обеспечения соответствия деятельности Администрации</w:t>
      </w:r>
      <w:proofErr w:type="gramEnd"/>
      <w:r w:rsidRPr="00821FCD">
        <w:rPr>
          <w:rFonts w:ascii="Times New Roman" w:hAnsi="Times New Roman" w:cs="Times New Roman"/>
        </w:rPr>
        <w:t xml:space="preserve"> требованиям антимонопольного законодательства (антимонопольный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)</w:t>
      </w:r>
      <w:r w:rsidR="00301CC5" w:rsidRPr="00821FCD">
        <w:rPr>
          <w:rFonts w:ascii="Times New Roman" w:hAnsi="Times New Roman" w:cs="Times New Roman"/>
        </w:rPr>
        <w:t>.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Разработаны </w:t>
      </w:r>
      <w:r w:rsidR="00673FEE">
        <w:rPr>
          <w:rFonts w:ascii="Times New Roman" w:hAnsi="Times New Roman" w:cs="Times New Roman"/>
        </w:rPr>
        <w:t xml:space="preserve">нормативные </w:t>
      </w:r>
      <w:r w:rsidRPr="00821FCD">
        <w:rPr>
          <w:rFonts w:ascii="Times New Roman" w:hAnsi="Times New Roman" w:cs="Times New Roman"/>
        </w:rPr>
        <w:t xml:space="preserve">акты Администрации в сфере </w:t>
      </w:r>
      <w:proofErr w:type="gramStart"/>
      <w:r w:rsidRPr="00821FCD">
        <w:rPr>
          <w:rFonts w:ascii="Times New Roman" w:hAnsi="Times New Roman" w:cs="Times New Roman"/>
        </w:rPr>
        <w:t>антимонопольного</w:t>
      </w:r>
      <w:proofErr w:type="gramEnd"/>
      <w:r w:rsidRPr="00821FCD">
        <w:rPr>
          <w:rFonts w:ascii="Times New Roman" w:hAnsi="Times New Roman" w:cs="Times New Roman"/>
        </w:rPr>
        <w:t xml:space="preserve"> </w:t>
      </w:r>
      <w:proofErr w:type="spellStart"/>
      <w:r w:rsidRPr="00821FCD">
        <w:rPr>
          <w:rFonts w:ascii="Times New Roman" w:hAnsi="Times New Roman" w:cs="Times New Roman"/>
        </w:rPr>
        <w:t>комплаенса</w:t>
      </w:r>
      <w:proofErr w:type="spellEnd"/>
      <w:r w:rsidRPr="00821FCD">
        <w:rPr>
          <w:rFonts w:ascii="Times New Roman" w:hAnsi="Times New Roman" w:cs="Times New Roman"/>
        </w:rPr>
        <w:t>, документы размещены на официальном сайте Администрации.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Проведены мероприятия, предусмотренные Положением об </w:t>
      </w:r>
      <w:proofErr w:type="gramStart"/>
      <w:r w:rsidRPr="00821FCD">
        <w:rPr>
          <w:rFonts w:ascii="Times New Roman" w:hAnsi="Times New Roman" w:cs="Times New Roman"/>
        </w:rPr>
        <w:t>антимонопольном</w:t>
      </w:r>
      <w:proofErr w:type="gramEnd"/>
      <w:r w:rsidRPr="00821FCD">
        <w:rPr>
          <w:rFonts w:ascii="Times New Roman" w:hAnsi="Times New Roman" w:cs="Times New Roman"/>
        </w:rPr>
        <w:t xml:space="preserve"> </w:t>
      </w:r>
      <w:proofErr w:type="spellStart"/>
      <w:r w:rsidRPr="00821FCD">
        <w:rPr>
          <w:rFonts w:ascii="Times New Roman" w:hAnsi="Times New Roman" w:cs="Times New Roman"/>
        </w:rPr>
        <w:t>комплаенсе</w:t>
      </w:r>
      <w:proofErr w:type="spellEnd"/>
      <w:r w:rsidRPr="00821FCD">
        <w:rPr>
          <w:rFonts w:ascii="Times New Roman" w:hAnsi="Times New Roman" w:cs="Times New Roman"/>
        </w:rPr>
        <w:t>.</w:t>
      </w:r>
    </w:p>
    <w:p w:rsidR="005301D6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Разработана карта (паспорт)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-рисков Администрации, включающая мероприятия по минимизации и устранению рисков нарушения антимонопольного законодательства.</w:t>
      </w:r>
    </w:p>
    <w:p w:rsidR="000A028F" w:rsidRPr="00821FCD" w:rsidRDefault="005301D6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По результатам проделанной работы нарушений антимонопольного законодательства за отчетный 20</w:t>
      </w:r>
      <w:r w:rsidR="00BC023A">
        <w:rPr>
          <w:rFonts w:ascii="Times New Roman" w:hAnsi="Times New Roman" w:cs="Times New Roman"/>
        </w:rPr>
        <w:t>2</w:t>
      </w:r>
      <w:r w:rsidR="006B6B0A">
        <w:rPr>
          <w:rFonts w:ascii="Times New Roman" w:hAnsi="Times New Roman" w:cs="Times New Roman"/>
        </w:rPr>
        <w:t>3</w:t>
      </w:r>
      <w:r w:rsidRPr="00821FCD">
        <w:rPr>
          <w:rFonts w:ascii="Times New Roman" w:hAnsi="Times New Roman" w:cs="Times New Roman"/>
        </w:rPr>
        <w:t xml:space="preserve"> год</w:t>
      </w:r>
      <w:r w:rsidR="00301CC5" w:rsidRPr="00821FCD">
        <w:rPr>
          <w:rFonts w:ascii="Times New Roman" w:hAnsi="Times New Roman" w:cs="Times New Roman"/>
        </w:rPr>
        <w:t xml:space="preserve"> </w:t>
      </w:r>
      <w:r w:rsidRPr="00821FCD">
        <w:rPr>
          <w:rFonts w:ascii="Times New Roman" w:hAnsi="Times New Roman" w:cs="Times New Roman"/>
        </w:rPr>
        <w:t>в деятельности Администрации не выявлено</w:t>
      </w:r>
      <w:r w:rsidR="000A028F" w:rsidRPr="00821FCD">
        <w:rPr>
          <w:rFonts w:ascii="Times New Roman" w:hAnsi="Times New Roman" w:cs="Times New Roman"/>
        </w:rPr>
        <w:t>.</w:t>
      </w:r>
    </w:p>
    <w:p w:rsidR="00AA44CC" w:rsidRPr="00821FCD" w:rsidRDefault="00AA44CC" w:rsidP="001A1C17">
      <w:pPr>
        <w:rPr>
          <w:rFonts w:ascii="Times New Roman" w:hAnsi="Times New Roman" w:cs="Times New Roman"/>
        </w:rPr>
      </w:pPr>
    </w:p>
    <w:p w:rsidR="001A1C17" w:rsidRPr="00821FCD" w:rsidRDefault="001A1C17" w:rsidP="001A1C17">
      <w:pPr>
        <w:rPr>
          <w:rFonts w:ascii="Times New Roman" w:hAnsi="Times New Roman" w:cs="Times New Roman"/>
        </w:rPr>
      </w:pPr>
    </w:p>
    <w:p w:rsidR="00F12CD5" w:rsidRPr="00821FCD" w:rsidRDefault="00F12CD5" w:rsidP="00AB364F">
      <w:pPr>
        <w:rPr>
          <w:rFonts w:ascii="Times New Roman" w:hAnsi="Times New Roman" w:cs="Times New Roman"/>
        </w:rPr>
      </w:pPr>
    </w:p>
    <w:p w:rsidR="001E1DDA" w:rsidRPr="00821FCD" w:rsidRDefault="001E1DDA" w:rsidP="004A42EC">
      <w:pPr>
        <w:rPr>
          <w:rFonts w:ascii="Times New Roman" w:hAnsi="Times New Roman" w:cs="Times New Roman"/>
        </w:rPr>
      </w:pPr>
    </w:p>
    <w:p w:rsidR="00072F77" w:rsidRPr="00821FCD" w:rsidRDefault="00072F77">
      <w:pPr>
        <w:rPr>
          <w:rFonts w:ascii="Times New Roman" w:hAnsi="Times New Roman" w:cs="Times New Roman"/>
        </w:rPr>
      </w:pPr>
    </w:p>
    <w:sectPr w:rsidR="00072F77" w:rsidRPr="0082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E" w:rsidRDefault="00A24AAE" w:rsidP="00994B2F">
      <w:pPr>
        <w:spacing w:after="0" w:line="240" w:lineRule="auto"/>
      </w:pPr>
      <w:r>
        <w:separator/>
      </w:r>
    </w:p>
  </w:endnote>
  <w:endnote w:type="continuationSeparator" w:id="0">
    <w:p w:rsidR="00A24AAE" w:rsidRDefault="00A24AAE" w:rsidP="009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255471"/>
      <w:docPartObj>
        <w:docPartGallery w:val="Page Numbers (Bottom of Page)"/>
        <w:docPartUnique/>
      </w:docPartObj>
    </w:sdtPr>
    <w:sdtEndPr/>
    <w:sdtContent>
      <w:p w:rsidR="00DB562B" w:rsidRDefault="00DB5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E3">
          <w:rPr>
            <w:noProof/>
          </w:rPr>
          <w:t>1</w:t>
        </w:r>
        <w:r>
          <w:fldChar w:fldCharType="end"/>
        </w:r>
      </w:p>
    </w:sdtContent>
  </w:sdt>
  <w:p w:rsidR="00DB562B" w:rsidRDefault="00DB56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E" w:rsidRDefault="00A24AAE" w:rsidP="00994B2F">
      <w:pPr>
        <w:spacing w:after="0" w:line="240" w:lineRule="auto"/>
      </w:pPr>
      <w:r>
        <w:separator/>
      </w:r>
    </w:p>
  </w:footnote>
  <w:footnote w:type="continuationSeparator" w:id="0">
    <w:p w:rsidR="00A24AAE" w:rsidRDefault="00A24AAE" w:rsidP="00994B2F">
      <w:pPr>
        <w:spacing w:after="0" w:line="240" w:lineRule="auto"/>
      </w:pPr>
      <w:r>
        <w:continuationSeparator/>
      </w:r>
    </w:p>
  </w:footnote>
  <w:footnote w:id="1">
    <w:p w:rsidR="00994B2F" w:rsidRPr="0046268B" w:rsidRDefault="00994B2F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Согласно п. 3.7. Положения об </w:t>
      </w:r>
      <w:proofErr w:type="gramStart"/>
      <w:r w:rsidRPr="0046268B">
        <w:rPr>
          <w:sz w:val="18"/>
          <w:szCs w:val="18"/>
        </w:rPr>
        <w:t>антимонопольном</w:t>
      </w:r>
      <w:proofErr w:type="gramEnd"/>
      <w:r w:rsidRPr="0046268B">
        <w:rPr>
          <w:sz w:val="18"/>
          <w:szCs w:val="18"/>
        </w:rPr>
        <w:t xml:space="preserve"> </w:t>
      </w:r>
      <w:proofErr w:type="spellStart"/>
      <w:r w:rsidRPr="0046268B">
        <w:rPr>
          <w:sz w:val="18"/>
          <w:szCs w:val="18"/>
        </w:rPr>
        <w:t>комплаенсе</w:t>
      </w:r>
      <w:proofErr w:type="spellEnd"/>
      <w:r w:rsidRPr="0046268B">
        <w:rPr>
          <w:sz w:val="18"/>
          <w:szCs w:val="18"/>
        </w:rPr>
        <w:t xml:space="preserve">, карта </w:t>
      </w:r>
      <w:proofErr w:type="spellStart"/>
      <w:r w:rsidRPr="0046268B">
        <w:rPr>
          <w:sz w:val="18"/>
          <w:szCs w:val="18"/>
        </w:rPr>
        <w:t>комплаенс</w:t>
      </w:r>
      <w:proofErr w:type="spellEnd"/>
      <w:r w:rsidRPr="0046268B">
        <w:rPr>
          <w:sz w:val="18"/>
          <w:szCs w:val="18"/>
        </w:rPr>
        <w:t xml:space="preserve">-рисков представляется на утверждение Главе Администрации не позднее 01 июля текущего года. </w:t>
      </w:r>
    </w:p>
  </w:footnote>
  <w:footnote w:id="2">
    <w:p w:rsidR="00740FCE" w:rsidRPr="0046268B" w:rsidRDefault="00740FCE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Согласно п.4.2 Положения об </w:t>
      </w:r>
      <w:proofErr w:type="gramStart"/>
      <w:r w:rsidRPr="0046268B">
        <w:rPr>
          <w:sz w:val="18"/>
          <w:szCs w:val="18"/>
        </w:rPr>
        <w:t>антимонопольном</w:t>
      </w:r>
      <w:proofErr w:type="gramEnd"/>
      <w:r w:rsidRPr="0046268B">
        <w:rPr>
          <w:sz w:val="18"/>
          <w:szCs w:val="18"/>
        </w:rPr>
        <w:t xml:space="preserve"> </w:t>
      </w:r>
      <w:proofErr w:type="spellStart"/>
      <w:r w:rsidRPr="0046268B">
        <w:rPr>
          <w:sz w:val="18"/>
          <w:szCs w:val="18"/>
        </w:rPr>
        <w:t>комплаенсе</w:t>
      </w:r>
      <w:proofErr w:type="spellEnd"/>
      <w:r w:rsidRPr="0046268B">
        <w:rPr>
          <w:sz w:val="18"/>
          <w:szCs w:val="18"/>
        </w:rPr>
        <w:t xml:space="preserve">, план мероприятий («дорожная карта») по снижению </w:t>
      </w:r>
      <w:proofErr w:type="spellStart"/>
      <w:r w:rsidRPr="0046268B">
        <w:rPr>
          <w:sz w:val="18"/>
          <w:szCs w:val="18"/>
        </w:rPr>
        <w:t>комплаенс</w:t>
      </w:r>
      <w:proofErr w:type="spellEnd"/>
      <w:r w:rsidRPr="0046268B">
        <w:rPr>
          <w:sz w:val="18"/>
          <w:szCs w:val="18"/>
        </w:rPr>
        <w:t>-рисков представляется на утверждение Главе Администрации не позднее 01 августа текущего года.</w:t>
      </w:r>
    </w:p>
  </w:footnote>
  <w:footnote w:id="3"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При расчете </w:t>
      </w:r>
      <w:proofErr w:type="gramStart"/>
      <w:r w:rsidRPr="0046268B">
        <w:rPr>
          <w:sz w:val="18"/>
          <w:szCs w:val="18"/>
        </w:rPr>
        <w:t>коэффициента снижения количества нарушений антимонопольного законодательства</w:t>
      </w:r>
      <w:proofErr w:type="gramEnd"/>
      <w:r w:rsidRPr="0046268B">
        <w:rPr>
          <w:sz w:val="18"/>
          <w:szCs w:val="18"/>
        </w:rPr>
        <w:t xml:space="preserve"> со стороны Администрации под нарушением антимонопольного законодательства со стороны Администрации понимаются:  </w:t>
      </w:r>
    </w:p>
    <w:p w:rsidR="0046268B" w:rsidRDefault="0046268B" w:rsidP="0046268B">
      <w:pPr>
        <w:pStyle w:val="a7"/>
      </w:pPr>
      <w:r w:rsidRPr="0046268B">
        <w:rPr>
          <w:sz w:val="18"/>
          <w:szCs w:val="18"/>
        </w:rPr>
        <w:t>- возбужденные антимонопольным органом в отношении Администрации антимонопольные дела;</w:t>
      </w:r>
      <w:r>
        <w:t xml:space="preserve">  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sz w:val="18"/>
          <w:szCs w:val="18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sz w:val="18"/>
          <w:szCs w:val="18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</w:p>
  </w:footnote>
  <w:footnote w:id="4">
    <w:p w:rsidR="0046268B" w:rsidRDefault="0046268B" w:rsidP="0046268B">
      <w:pPr>
        <w:pStyle w:val="a7"/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6268B">
        <w:rPr>
          <w:sz w:val="18"/>
          <w:szCs w:val="18"/>
        </w:rPr>
        <w:t>комплаенсу</w:t>
      </w:r>
      <w:proofErr w:type="spellEnd"/>
      <w:r w:rsidRPr="0046268B">
        <w:rPr>
          <w:sz w:val="18"/>
          <w:szCs w:val="18"/>
        </w:rPr>
        <w:t xml:space="preserve"> в отношении всех сотрудников Администрации, чьи трудовые (</w:t>
      </w:r>
      <w:proofErr w:type="gramStart"/>
      <w:r w:rsidRPr="0046268B">
        <w:rPr>
          <w:sz w:val="18"/>
          <w:szCs w:val="18"/>
        </w:rPr>
        <w:t xml:space="preserve">должностные) </w:t>
      </w:r>
      <w:proofErr w:type="gramEnd"/>
      <w:r w:rsidRPr="0046268B">
        <w:rPr>
          <w:sz w:val="18"/>
          <w:szCs w:val="18"/>
        </w:rPr>
        <w:t xml:space="preserve">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</w:t>
      </w:r>
      <w:proofErr w:type="spellStart"/>
      <w:r w:rsidRPr="0046268B">
        <w:rPr>
          <w:sz w:val="18"/>
          <w:szCs w:val="18"/>
        </w:rPr>
        <w:t>комплаенсу</w:t>
      </w:r>
      <w:proofErr w:type="spellEnd"/>
      <w:r w:rsidRPr="0046268B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6"/>
    <w:rsid w:val="00000354"/>
    <w:rsid w:val="00072F77"/>
    <w:rsid w:val="000A028F"/>
    <w:rsid w:val="000D6DB6"/>
    <w:rsid w:val="001A1C17"/>
    <w:rsid w:val="001E1DDA"/>
    <w:rsid w:val="002907A6"/>
    <w:rsid w:val="002B7CBA"/>
    <w:rsid w:val="002F24B5"/>
    <w:rsid w:val="002F6C63"/>
    <w:rsid w:val="00301CC5"/>
    <w:rsid w:val="00307309"/>
    <w:rsid w:val="00335526"/>
    <w:rsid w:val="003C6167"/>
    <w:rsid w:val="0046268B"/>
    <w:rsid w:val="004A42EC"/>
    <w:rsid w:val="004C54E3"/>
    <w:rsid w:val="005030B7"/>
    <w:rsid w:val="005301D6"/>
    <w:rsid w:val="00556BAB"/>
    <w:rsid w:val="00592DCC"/>
    <w:rsid w:val="0059652A"/>
    <w:rsid w:val="00603A04"/>
    <w:rsid w:val="006128D4"/>
    <w:rsid w:val="0062301B"/>
    <w:rsid w:val="00673FEE"/>
    <w:rsid w:val="006B6B0A"/>
    <w:rsid w:val="006C076D"/>
    <w:rsid w:val="00725A9C"/>
    <w:rsid w:val="0072754A"/>
    <w:rsid w:val="007379E3"/>
    <w:rsid w:val="00740FCE"/>
    <w:rsid w:val="00746A59"/>
    <w:rsid w:val="007B5C60"/>
    <w:rsid w:val="007C0FD7"/>
    <w:rsid w:val="007E435E"/>
    <w:rsid w:val="00811A36"/>
    <w:rsid w:val="00821FCD"/>
    <w:rsid w:val="008811A9"/>
    <w:rsid w:val="008B75CF"/>
    <w:rsid w:val="00915366"/>
    <w:rsid w:val="00943BC0"/>
    <w:rsid w:val="00982603"/>
    <w:rsid w:val="00994B2F"/>
    <w:rsid w:val="00997DBD"/>
    <w:rsid w:val="00A24AAE"/>
    <w:rsid w:val="00A80FA9"/>
    <w:rsid w:val="00A930A1"/>
    <w:rsid w:val="00AA44CC"/>
    <w:rsid w:val="00AB364F"/>
    <w:rsid w:val="00BC023A"/>
    <w:rsid w:val="00BC3752"/>
    <w:rsid w:val="00BD199A"/>
    <w:rsid w:val="00C973DE"/>
    <w:rsid w:val="00DB562B"/>
    <w:rsid w:val="00DC20D8"/>
    <w:rsid w:val="00ED602E"/>
    <w:rsid w:val="00F12CD5"/>
    <w:rsid w:val="00F31136"/>
    <w:rsid w:val="00F91D04"/>
    <w:rsid w:val="00F9546F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62B"/>
  </w:style>
  <w:style w:type="paragraph" w:styleId="ac">
    <w:name w:val="footer"/>
    <w:basedOn w:val="a"/>
    <w:link w:val="ad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62B"/>
  </w:style>
  <w:style w:type="character" w:styleId="ae">
    <w:name w:val="Hyperlink"/>
    <w:basedOn w:val="a0"/>
    <w:uiPriority w:val="99"/>
    <w:unhideWhenUsed/>
    <w:rsid w:val="00BD199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62B"/>
  </w:style>
  <w:style w:type="paragraph" w:styleId="ac">
    <w:name w:val="footer"/>
    <w:basedOn w:val="a"/>
    <w:link w:val="ad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62B"/>
  </w:style>
  <w:style w:type="character" w:styleId="ae">
    <w:name w:val="Hyperlink"/>
    <w:basedOn w:val="a0"/>
    <w:uiPriority w:val="99"/>
    <w:unhideWhenUsed/>
    <w:rsid w:val="00BD199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fa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5377-F686-466A-815E-0A27DDF5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Econom2</cp:lastModifiedBy>
  <cp:revision>2</cp:revision>
  <cp:lastPrinted>2022-01-31T12:24:00Z</cp:lastPrinted>
  <dcterms:created xsi:type="dcterms:W3CDTF">2024-01-24T11:47:00Z</dcterms:created>
  <dcterms:modified xsi:type="dcterms:W3CDTF">2024-01-24T11:47:00Z</dcterms:modified>
</cp:coreProperties>
</file>